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УЧРЕЖДЕНИЕ ВЫСШЕГО ОБРАЗОВАНИЯ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«МОСКОВСКИЙ ГОСУДАРСТВЕННЫЙ УНИВЕРСИТЕТ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имени М.В. ЛОМОНОСОВА»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ФАКУЛЬТЕТ ПОЧВОВЕДЕНИЯ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НАПРАВЛЕНИЕ ПОДГОТОВКИ 06.03.02 «Почвоведение»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КАФЕДРА БИОЛОГИИ ПОЧВ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БАКАЛАВРСКАЯ РАБОТА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color w:val="000000"/>
          <w:sz w:val="28"/>
          <w:szCs w:val="28"/>
          <w:shd w:val="clear" w:color="auto" w:fill="FFFFFF"/>
        </w:rPr>
        <w:t>ИНИЦИИРОВАННЫЕ ГИДРОЛИТИЧЕСКИЕ БАКТЕРИАЛЬНЫЕ СООБЩЕСТВА КИШЕЧНИКА ДИПЛОПОД</w:t>
      </w:r>
      <w:r>
        <w:rPr>
          <w:sz w:val="28"/>
          <w:szCs w:val="28"/>
        </w:rPr>
        <w:t>»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</w:rPr>
      </w:pPr>
    </w:p>
    <w:p w:rsidR="00524114" w:rsidRDefault="00524114">
      <w:pPr>
        <w:spacing w:line="360" w:lineRule="auto"/>
        <w:ind w:left="1701"/>
        <w:jc w:val="center"/>
        <w:outlineLvl w:val="0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«INITIATED HYDROLYTIC INTESTINAL BACTERIAL COMMUNITIES OF </w:t>
      </w:r>
      <w:r>
        <w:rPr>
          <w:bCs/>
          <w:i/>
          <w:sz w:val="28"/>
          <w:szCs w:val="28"/>
          <w:lang w:val="en-US"/>
        </w:rPr>
        <w:t>DIPLOPODA</w:t>
      </w:r>
      <w:r>
        <w:rPr>
          <w:bCs/>
          <w:sz w:val="28"/>
          <w:szCs w:val="28"/>
          <w:lang w:val="en-US"/>
        </w:rPr>
        <w:t>»</w:t>
      </w:r>
    </w:p>
    <w:p w:rsidR="00524114" w:rsidRDefault="00524114">
      <w:pPr>
        <w:spacing w:line="360" w:lineRule="auto"/>
        <w:ind w:left="1701"/>
        <w:jc w:val="center"/>
        <w:outlineLvl w:val="0"/>
        <w:rPr>
          <w:sz w:val="28"/>
          <w:szCs w:val="28"/>
          <w:lang w:val="en-US"/>
        </w:rPr>
      </w:pPr>
    </w:p>
    <w:p w:rsidR="00524114" w:rsidRDefault="00524114">
      <w:pPr>
        <w:spacing w:line="360" w:lineRule="auto"/>
        <w:ind w:left="1701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Выполнила студентка </w:t>
      </w:r>
    </w:p>
    <w:p w:rsidR="00524114" w:rsidRDefault="00524114">
      <w:pPr>
        <w:spacing w:line="360" w:lineRule="auto"/>
        <w:ind w:left="1701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Турчина</w:t>
      </w:r>
      <w:proofErr w:type="spellEnd"/>
      <w:r>
        <w:rPr>
          <w:sz w:val="28"/>
          <w:szCs w:val="28"/>
        </w:rPr>
        <w:t xml:space="preserve"> Анна Михайловна</w:t>
      </w:r>
    </w:p>
    <w:p w:rsidR="00524114" w:rsidRDefault="00524114">
      <w:pPr>
        <w:spacing w:line="360" w:lineRule="auto"/>
        <w:ind w:left="1701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Научный руководитель:</w:t>
      </w:r>
    </w:p>
    <w:p w:rsidR="00524114" w:rsidRDefault="00524114">
      <w:pPr>
        <w:spacing w:line="360" w:lineRule="auto"/>
        <w:ind w:left="1701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к.б.н., </w:t>
      </w:r>
      <w:proofErr w:type="spellStart"/>
      <w:r>
        <w:rPr>
          <w:sz w:val="28"/>
          <w:szCs w:val="28"/>
        </w:rPr>
        <w:t>м.н.с</w:t>
      </w:r>
      <w:proofErr w:type="spellEnd"/>
      <w:r>
        <w:rPr>
          <w:sz w:val="28"/>
          <w:szCs w:val="28"/>
        </w:rPr>
        <w:t>. Якушев Андрей Владимирович</w:t>
      </w:r>
    </w:p>
    <w:p w:rsidR="00524114" w:rsidRDefault="00524114">
      <w:pPr>
        <w:spacing w:line="360" w:lineRule="auto"/>
        <w:ind w:left="1701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Рецензент:</w:t>
      </w:r>
    </w:p>
    <w:p w:rsidR="00524114" w:rsidRDefault="00524114">
      <w:pPr>
        <w:spacing w:line="360" w:lineRule="auto"/>
        <w:ind w:left="1701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д.б.н., доцент, заместитель директора по научной работе </w:t>
      </w:r>
    </w:p>
    <w:p w:rsidR="00524114" w:rsidRDefault="00524114">
      <w:pPr>
        <w:spacing w:line="360" w:lineRule="auto"/>
        <w:ind w:left="1701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Садыкова Вера Сергеевн</w:t>
      </w:r>
      <w:r w:rsidR="00142AC2">
        <w:rPr>
          <w:sz w:val="28"/>
          <w:szCs w:val="28"/>
        </w:rPr>
        <w:t>а</w:t>
      </w:r>
    </w:p>
    <w:p w:rsidR="00142AC2" w:rsidRDefault="00142AC2">
      <w:pPr>
        <w:spacing w:line="360" w:lineRule="auto"/>
        <w:ind w:left="1701"/>
        <w:jc w:val="right"/>
        <w:outlineLvl w:val="0"/>
        <w:rPr>
          <w:sz w:val="28"/>
          <w:szCs w:val="28"/>
        </w:rPr>
      </w:pPr>
    </w:p>
    <w:p w:rsidR="00142AC2" w:rsidRDefault="00142AC2" w:rsidP="00142AC2">
      <w:pPr>
        <w:spacing w:line="360" w:lineRule="auto"/>
        <w:ind w:left="1701"/>
        <w:outlineLvl w:val="0"/>
        <w:rPr>
          <w:sz w:val="28"/>
          <w:szCs w:val="28"/>
        </w:rPr>
      </w:pPr>
      <w:r>
        <w:rPr>
          <w:sz w:val="28"/>
          <w:szCs w:val="28"/>
        </w:rPr>
        <w:t>Допущена к защите</w:t>
      </w:r>
    </w:p>
    <w:p w:rsidR="00524114" w:rsidRDefault="00142AC2">
      <w:pPr>
        <w:spacing w:line="360" w:lineRule="auto"/>
        <w:ind w:left="1701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Зав. кафедрой ______________ </w:t>
      </w:r>
    </w:p>
    <w:p w:rsidR="00524114" w:rsidRDefault="00524114" w:rsidP="00142AC2">
      <w:pPr>
        <w:tabs>
          <w:tab w:val="left" w:pos="4680"/>
          <w:tab w:val="left" w:pos="6300"/>
        </w:tabs>
        <w:ind w:left="1701" w:firstLine="708"/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</w:p>
    <w:p w:rsidR="00524114" w:rsidRPr="0027668D" w:rsidRDefault="00524114" w:rsidP="00142AC2">
      <w:pPr>
        <w:tabs>
          <w:tab w:val="left" w:pos="4680"/>
          <w:tab w:val="left" w:pos="6300"/>
        </w:tabs>
        <w:ind w:left="1701" w:firstLine="708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524114" w:rsidRDefault="00524114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СОДЕРЖАНИЕ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Введение……………………………………………………………….3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 Обзор литературы…………………………………………………</w:t>
      </w:r>
      <w:r w:rsidR="00142AC2">
        <w:rPr>
          <w:bCs/>
          <w:iCs/>
          <w:sz w:val="28"/>
          <w:szCs w:val="28"/>
        </w:rPr>
        <w:t>..</w:t>
      </w:r>
      <w:r>
        <w:rPr>
          <w:bCs/>
          <w:iCs/>
          <w:sz w:val="28"/>
          <w:szCs w:val="28"/>
        </w:rPr>
        <w:t>5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1.1 Определение концентрации микроорганизмов в питательной среде……………………………………………………………………5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1.2 Основы микробной кинетики…………………………………….7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1.3 Экологические стратегии микроорганизмов…………………...12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1.3.1 Использование микроорганизмами труднодоступных и полимерных соединений…………………………………………….15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1.4 Количественные показатели состояния микробной системы…15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1.5 Ферментативная активность в пищевом тракте многоножек…17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1.6 </w:t>
      </w:r>
      <w:r>
        <w:rPr>
          <w:bCs/>
          <w:iCs/>
          <w:sz w:val="28"/>
          <w:szCs w:val="28"/>
        </w:rPr>
        <w:tab/>
        <w:t xml:space="preserve">Микроорганизмы в кишечнике </w:t>
      </w:r>
      <w:proofErr w:type="spellStart"/>
      <w:r>
        <w:rPr>
          <w:bCs/>
          <w:iCs/>
          <w:sz w:val="28"/>
          <w:szCs w:val="28"/>
        </w:rPr>
        <w:t>диплопод</w:t>
      </w:r>
      <w:proofErr w:type="spellEnd"/>
      <w:r>
        <w:rPr>
          <w:bCs/>
          <w:iCs/>
          <w:sz w:val="28"/>
          <w:szCs w:val="28"/>
        </w:rPr>
        <w:t>……………………...1</w:t>
      </w:r>
      <w:r w:rsidR="00300EE5">
        <w:rPr>
          <w:bCs/>
          <w:iCs/>
          <w:sz w:val="28"/>
          <w:szCs w:val="28"/>
        </w:rPr>
        <w:t>8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 Экспериментальная часть………………………………………</w:t>
      </w:r>
      <w:r w:rsidR="00142AC2">
        <w:rPr>
          <w:bCs/>
          <w:iCs/>
          <w:sz w:val="28"/>
          <w:szCs w:val="28"/>
        </w:rPr>
        <w:t>…</w:t>
      </w:r>
      <w:r>
        <w:rPr>
          <w:bCs/>
          <w:iCs/>
          <w:sz w:val="28"/>
          <w:szCs w:val="28"/>
        </w:rPr>
        <w:t>22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2.1 Объект исследования………………………….…………………22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2.2 Метод микробиологического исследования….…..……………</w:t>
      </w:r>
      <w:r w:rsidR="00142AC2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22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2.3 Ход эксперимента………………..…………….………………</w:t>
      </w:r>
      <w:r w:rsidR="00142AC2">
        <w:rPr>
          <w:bCs/>
          <w:iCs/>
          <w:sz w:val="28"/>
          <w:szCs w:val="28"/>
        </w:rPr>
        <w:t>...</w:t>
      </w:r>
      <w:r>
        <w:rPr>
          <w:bCs/>
          <w:iCs/>
          <w:sz w:val="28"/>
          <w:szCs w:val="28"/>
        </w:rPr>
        <w:t>26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2.4 Результаты и обсуждения………………………………………</w:t>
      </w:r>
      <w:r w:rsidR="00142AC2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27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2.4.1 Характеристика экономических коэффициентов……………27</w:t>
      </w:r>
    </w:p>
    <w:p w:rsidR="00524114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2.5 Разнообразие штаммов инициированных гидролитических бактериальных сообществ…………………………………………...38</w:t>
      </w:r>
    </w:p>
    <w:p w:rsidR="00524114" w:rsidRPr="007407B8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Заключение…………………………………………………………...4</w:t>
      </w:r>
      <w:r w:rsidRPr="007407B8">
        <w:rPr>
          <w:bCs/>
          <w:iCs/>
          <w:sz w:val="28"/>
          <w:szCs w:val="28"/>
        </w:rPr>
        <w:t>3</w:t>
      </w:r>
    </w:p>
    <w:p w:rsidR="00524114" w:rsidRPr="0027668D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Список использованных источников……………………………….4</w:t>
      </w:r>
      <w:r w:rsidRPr="0027668D">
        <w:rPr>
          <w:bCs/>
          <w:iCs/>
          <w:sz w:val="28"/>
          <w:szCs w:val="28"/>
        </w:rPr>
        <w:t>4</w:t>
      </w:r>
    </w:p>
    <w:p w:rsidR="00524114" w:rsidRPr="0027668D" w:rsidRDefault="00524114">
      <w:pPr>
        <w:spacing w:line="360" w:lineRule="auto"/>
        <w:ind w:left="1701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Приложение…………………………………………………………..4</w:t>
      </w:r>
      <w:r w:rsidRPr="0027668D">
        <w:rPr>
          <w:bCs/>
          <w:iCs/>
          <w:sz w:val="28"/>
          <w:szCs w:val="28"/>
        </w:rPr>
        <w:t>6</w:t>
      </w:r>
    </w:p>
    <w:p w:rsidR="00142AC2" w:rsidRDefault="00142AC2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</w:p>
    <w:p w:rsidR="00142AC2" w:rsidRDefault="00142AC2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</w:p>
    <w:p w:rsidR="00142AC2" w:rsidRDefault="00142AC2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</w:p>
    <w:p w:rsidR="00142AC2" w:rsidRDefault="00142AC2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</w:p>
    <w:p w:rsidR="00142AC2" w:rsidRDefault="00142AC2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</w:p>
    <w:p w:rsidR="00142AC2" w:rsidRDefault="00142AC2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</w:p>
    <w:p w:rsidR="00524114" w:rsidRDefault="00524114">
      <w:pPr>
        <w:spacing w:line="360" w:lineRule="auto"/>
        <w:ind w:left="1701"/>
        <w:jc w:val="center"/>
        <w:outlineLvl w:val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ВВЕДЕНИЕ</w:t>
      </w:r>
    </w:p>
    <w:p w:rsidR="00524114" w:rsidRDefault="00524114">
      <w:pPr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Питание почвенных животных-сапрофагов осуществляется при активном участии кишечных микроорганизмов. В почвенной зоологии это явление называется «симбиотическое пищеварение». Однако его механизмы во многом неизвестны и установление функциональной организации кишечного микробиома остается одной из важнейших задач для специалистов по </w:t>
      </w:r>
      <w:proofErr w:type="spellStart"/>
      <w:r>
        <w:rPr>
          <w:sz w:val="28"/>
          <w:szCs w:val="28"/>
        </w:rPr>
        <w:t>зоомикробным</w:t>
      </w:r>
      <w:proofErr w:type="spellEnd"/>
      <w:r>
        <w:rPr>
          <w:sz w:val="28"/>
          <w:szCs w:val="28"/>
        </w:rPr>
        <w:t xml:space="preserve"> взаимодействиям. </w:t>
      </w:r>
    </w:p>
    <w:p w:rsidR="00524114" w:rsidRDefault="00524114">
      <w:pPr>
        <w:spacing w:line="360" w:lineRule="auto"/>
        <w:ind w:left="1701" w:firstLine="567"/>
        <w:jc w:val="both"/>
        <w:rPr>
          <w:sz w:val="28"/>
          <w:szCs w:val="28"/>
        </w:rPr>
      </w:pPr>
      <w:r>
        <w:rPr>
          <w:iCs/>
          <w:sz w:val="28"/>
          <w:szCs w:val="28"/>
          <w:shd w:val="clear" w:color="auto" w:fill="FFFFFF"/>
        </w:rPr>
        <w:t>Переваривание пищи в пищеварительной системе животных всегда осуществляется при взаимодействии с микроорганизмами желудочно-кишечного тракта (</w:t>
      </w:r>
      <w:r>
        <w:rPr>
          <w:bCs/>
          <w:iCs/>
          <w:sz w:val="28"/>
          <w:szCs w:val="28"/>
          <w:shd w:val="clear" w:color="auto" w:fill="FFFFFF"/>
        </w:rPr>
        <w:t>ЖКТ</w:t>
      </w:r>
      <w:r>
        <w:rPr>
          <w:iCs/>
          <w:sz w:val="28"/>
          <w:szCs w:val="28"/>
          <w:shd w:val="clear" w:color="auto" w:fill="FFFFFF"/>
        </w:rPr>
        <w:t>). Кишечные микроорганизмы выполняют следующие функции: 1</w:t>
      </w:r>
      <w:r w:rsidR="00421877">
        <w:rPr>
          <w:iCs/>
          <w:sz w:val="28"/>
          <w:szCs w:val="28"/>
          <w:shd w:val="clear" w:color="auto" w:fill="FFFFFF"/>
        </w:rPr>
        <w:t>)</w:t>
      </w:r>
      <w:r>
        <w:rPr>
          <w:iCs/>
          <w:sz w:val="28"/>
          <w:szCs w:val="28"/>
          <w:shd w:val="clear" w:color="auto" w:fill="FFFFFF"/>
        </w:rPr>
        <w:t xml:space="preserve"> синтезируют витамины; 2</w:t>
      </w:r>
      <w:r w:rsidR="00421877">
        <w:rPr>
          <w:iCs/>
          <w:sz w:val="28"/>
          <w:szCs w:val="28"/>
          <w:shd w:val="clear" w:color="auto" w:fill="FFFFFF"/>
        </w:rPr>
        <w:t>)</w:t>
      </w:r>
      <w:r>
        <w:rPr>
          <w:iCs/>
          <w:sz w:val="28"/>
          <w:szCs w:val="28"/>
          <w:shd w:val="clear" w:color="auto" w:fill="FFFFFF"/>
        </w:rPr>
        <w:t xml:space="preserve"> снабжают организм беспозвоночных незаменимыми аминокислотами и ненасыщенными жирными кислотами; 3</w:t>
      </w:r>
      <w:r w:rsidR="00421877">
        <w:rPr>
          <w:iCs/>
          <w:sz w:val="28"/>
          <w:szCs w:val="28"/>
          <w:shd w:val="clear" w:color="auto" w:fill="FFFFFF"/>
        </w:rPr>
        <w:t>)</w:t>
      </w:r>
      <w:r>
        <w:rPr>
          <w:iCs/>
          <w:sz w:val="28"/>
          <w:szCs w:val="28"/>
          <w:shd w:val="clear" w:color="auto" w:fill="FFFFFF"/>
        </w:rPr>
        <w:t xml:space="preserve"> разрушают токсины, в том числе и антропогенного происхождения, поступающие вместе с пищей; 4</w:t>
      </w:r>
      <w:r w:rsidR="00421877">
        <w:rPr>
          <w:iCs/>
          <w:sz w:val="28"/>
          <w:szCs w:val="28"/>
          <w:shd w:val="clear" w:color="auto" w:fill="FFFFFF"/>
        </w:rPr>
        <w:t>)</w:t>
      </w:r>
      <w:r>
        <w:rPr>
          <w:iCs/>
          <w:sz w:val="28"/>
          <w:szCs w:val="28"/>
          <w:shd w:val="clear" w:color="auto" w:fill="FFFFFF"/>
        </w:rPr>
        <w:t xml:space="preserve"> помогают иммунной системе хозяина бороться с кишечными патогенами; 5</w:t>
      </w:r>
      <w:r w:rsidR="00421877">
        <w:rPr>
          <w:iCs/>
          <w:sz w:val="28"/>
          <w:szCs w:val="28"/>
          <w:shd w:val="clear" w:color="auto" w:fill="FFFFFF"/>
        </w:rPr>
        <w:t>)</w:t>
      </w:r>
      <w:r>
        <w:rPr>
          <w:iCs/>
          <w:sz w:val="28"/>
          <w:szCs w:val="28"/>
          <w:shd w:val="clear" w:color="auto" w:fill="FFFFFF"/>
        </w:rPr>
        <w:t xml:space="preserve"> снабжают хозяина азотом в ходе ассоциативной </w:t>
      </w:r>
      <w:proofErr w:type="spellStart"/>
      <w:r>
        <w:rPr>
          <w:iCs/>
          <w:sz w:val="28"/>
          <w:szCs w:val="28"/>
          <w:shd w:val="clear" w:color="auto" w:fill="FFFFFF"/>
        </w:rPr>
        <w:t>азотофиксации</w:t>
      </w:r>
      <w:proofErr w:type="spellEnd"/>
      <w:r>
        <w:rPr>
          <w:iCs/>
          <w:sz w:val="28"/>
          <w:szCs w:val="28"/>
          <w:shd w:val="clear" w:color="auto" w:fill="FFFFFF"/>
        </w:rPr>
        <w:t xml:space="preserve"> в кишечнике и </w:t>
      </w:r>
      <w:proofErr w:type="spellStart"/>
      <w:r>
        <w:rPr>
          <w:iCs/>
          <w:sz w:val="28"/>
          <w:szCs w:val="28"/>
          <w:shd w:val="clear" w:color="auto" w:fill="FFFFFF"/>
        </w:rPr>
        <w:t>рециклизации</w:t>
      </w:r>
      <w:proofErr w:type="spellEnd"/>
      <w:r>
        <w:rPr>
          <w:iCs/>
          <w:sz w:val="28"/>
          <w:szCs w:val="28"/>
          <w:shd w:val="clear" w:color="auto" w:fill="FFFFFF"/>
        </w:rPr>
        <w:t xml:space="preserve"> продуктов азотного обмена хозяина</w:t>
      </w:r>
      <w:r w:rsidR="00421877">
        <w:rPr>
          <w:iCs/>
          <w:sz w:val="28"/>
          <w:szCs w:val="28"/>
          <w:shd w:val="clear" w:color="auto" w:fill="FFFFFF"/>
        </w:rPr>
        <w:t>;</w:t>
      </w:r>
      <w:r>
        <w:rPr>
          <w:iCs/>
          <w:sz w:val="28"/>
          <w:szCs w:val="28"/>
          <w:shd w:val="clear" w:color="auto" w:fill="FFFFFF"/>
        </w:rPr>
        <w:t xml:space="preserve"> 6</w:t>
      </w:r>
      <w:r w:rsidR="00421877">
        <w:rPr>
          <w:iCs/>
          <w:sz w:val="28"/>
          <w:szCs w:val="28"/>
          <w:shd w:val="clear" w:color="auto" w:fill="FFFFFF"/>
        </w:rPr>
        <w:t>)</w:t>
      </w:r>
      <w:r>
        <w:rPr>
          <w:iCs/>
          <w:sz w:val="28"/>
          <w:szCs w:val="28"/>
          <w:shd w:val="clear" w:color="auto" w:fill="FFFFFF"/>
        </w:rPr>
        <w:t xml:space="preserve"> помогают потреблять животному </w:t>
      </w:r>
      <w:proofErr w:type="spellStart"/>
      <w:r>
        <w:rPr>
          <w:iCs/>
          <w:sz w:val="28"/>
          <w:szCs w:val="28"/>
          <w:shd w:val="clear" w:color="auto" w:fill="FFFFFF"/>
        </w:rPr>
        <w:t>неразлагаемые</w:t>
      </w:r>
      <w:proofErr w:type="spellEnd"/>
      <w:r>
        <w:rPr>
          <w:iCs/>
          <w:sz w:val="28"/>
          <w:szCs w:val="28"/>
          <w:shd w:val="clear" w:color="auto" w:fill="FFFFFF"/>
        </w:rPr>
        <w:t xml:space="preserve"> ферментами кишечника полимеры</w:t>
      </w:r>
      <w:r>
        <w:rPr>
          <w:sz w:val="28"/>
          <w:szCs w:val="28"/>
        </w:rPr>
        <w:t xml:space="preserve"> пищи (хитин, лигнин, целлюлозу)</w:t>
      </w:r>
      <w:r>
        <w:rPr>
          <w:iCs/>
          <w:sz w:val="28"/>
          <w:szCs w:val="28"/>
          <w:shd w:val="clear" w:color="auto" w:fill="FFFFFF"/>
        </w:rPr>
        <w:t>, гидролизуя их своими ферментами.</w:t>
      </w:r>
      <w:r w:rsidR="00421877">
        <w:rPr>
          <w:i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Именно эта, последняя, функция кишечного сообщества исследуются в нашей работе с помощью комплексного структурно-функционального метода. </w:t>
      </w:r>
    </w:p>
    <w:p w:rsidR="00524114" w:rsidRDefault="00524114">
      <w:pPr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Целью данной работы является сравнение экофизиологических особенностей гидролитического бактериального сообщества кишечника </w:t>
      </w:r>
      <w:proofErr w:type="spellStart"/>
      <w:r>
        <w:rPr>
          <w:i/>
          <w:iCs/>
          <w:sz w:val="28"/>
          <w:szCs w:val="28"/>
        </w:rPr>
        <w:t>Cylindroiulus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caeruleocynctus</w:t>
      </w:r>
      <w:proofErr w:type="spellEnd"/>
      <w:r>
        <w:rPr>
          <w:sz w:val="28"/>
          <w:szCs w:val="28"/>
        </w:rPr>
        <w:t xml:space="preserve"> с кишечными сообществами других трофических групп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 и других беспозвоночных животных. </w:t>
      </w:r>
    </w:p>
    <w:p w:rsidR="00524114" w:rsidRDefault="00524114">
      <w:pPr>
        <w:spacing w:line="360" w:lineRule="auto"/>
        <w:ind w:left="1701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задачи исследования входит: </w:t>
      </w:r>
    </w:p>
    <w:p w:rsidR="00524114" w:rsidRDefault="00421877">
      <w:pPr>
        <w:numPr>
          <w:ilvl w:val="0"/>
          <w:numId w:val="1"/>
        </w:numPr>
        <w:tabs>
          <w:tab w:val="num" w:pos="0"/>
        </w:tabs>
        <w:spacing w:line="360" w:lineRule="auto"/>
        <w:ind w:left="170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4114">
        <w:rPr>
          <w:sz w:val="28"/>
          <w:szCs w:val="28"/>
        </w:rPr>
        <w:t xml:space="preserve">сравнение гидролитического бактериального комплекса корма, кишечника и экскрементов </w:t>
      </w:r>
      <w:proofErr w:type="spellStart"/>
      <w:r w:rsidR="00524114">
        <w:rPr>
          <w:sz w:val="28"/>
          <w:szCs w:val="28"/>
        </w:rPr>
        <w:t>двупарноногой</w:t>
      </w:r>
      <w:proofErr w:type="spellEnd"/>
      <w:r w:rsidR="00524114">
        <w:rPr>
          <w:sz w:val="28"/>
          <w:szCs w:val="28"/>
        </w:rPr>
        <w:t xml:space="preserve"> многоножки </w:t>
      </w:r>
      <w:proofErr w:type="spellStart"/>
      <w:r w:rsidR="00524114">
        <w:rPr>
          <w:i/>
          <w:sz w:val="28"/>
          <w:szCs w:val="28"/>
          <w:lang w:val="en-US"/>
        </w:rPr>
        <w:t>Cylindroiulus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 w:rsidR="00524114">
        <w:rPr>
          <w:i/>
          <w:sz w:val="28"/>
          <w:szCs w:val="28"/>
          <w:lang w:val="en-US"/>
        </w:rPr>
        <w:t>caeruleocynctus</w:t>
      </w:r>
      <w:proofErr w:type="spellEnd"/>
      <w:r w:rsidR="00524114">
        <w:rPr>
          <w:sz w:val="28"/>
          <w:szCs w:val="28"/>
        </w:rPr>
        <w:t xml:space="preserve"> по преобладающим экологическим стратегиям среди членов учитываемой данным методом части бактериальных сообществ;</w:t>
      </w:r>
    </w:p>
    <w:p w:rsidR="00524114" w:rsidRDefault="00524114">
      <w:pPr>
        <w:pStyle w:val="ad"/>
        <w:numPr>
          <w:ilvl w:val="0"/>
          <w:numId w:val="1"/>
        </w:numPr>
        <w:tabs>
          <w:tab w:val="num" w:pos="2127"/>
          <w:tab w:val="center" w:pos="5600"/>
          <w:tab w:val="left" w:pos="7035"/>
        </w:tabs>
        <w:spacing w:line="360" w:lineRule="auto"/>
        <w:ind w:left="1701" w:firstLine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ab/>
        <w:t xml:space="preserve">сравнение гидролитического бактериального комплекса корма, кишечника и экскрементов </w:t>
      </w:r>
      <w:r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 xml:space="preserve">. </w:t>
      </w:r>
      <w:r w:rsidR="00421877">
        <w:rPr>
          <w:i/>
          <w:sz w:val="28"/>
          <w:szCs w:val="28"/>
        </w:rPr>
        <w:t>с</w:t>
      </w:r>
      <w:proofErr w:type="spellStart"/>
      <w:r>
        <w:rPr>
          <w:i/>
          <w:sz w:val="28"/>
          <w:szCs w:val="28"/>
          <w:lang w:val="en-US"/>
        </w:rPr>
        <w:t>aeruleocynctus</w:t>
      </w:r>
      <w:proofErr w:type="spellEnd"/>
      <w:r w:rsidRPr="00353C0A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их трофической специализации;</w:t>
      </w:r>
    </w:p>
    <w:p w:rsidR="00524114" w:rsidRDefault="00421877">
      <w:pPr>
        <w:pStyle w:val="ad"/>
        <w:numPr>
          <w:ilvl w:val="0"/>
          <w:numId w:val="1"/>
        </w:numPr>
        <w:tabs>
          <w:tab w:val="left" w:pos="1701"/>
        </w:tabs>
        <w:spacing w:line="360" w:lineRule="auto"/>
        <w:ind w:left="1701" w:firstLine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524114">
        <w:rPr>
          <w:iCs/>
          <w:sz w:val="28"/>
          <w:szCs w:val="28"/>
        </w:rPr>
        <w:t xml:space="preserve">сравнение полученных результатов с данными, полученными по кишечным сообществам других трофических и систематических групп </w:t>
      </w:r>
      <w:proofErr w:type="spellStart"/>
      <w:r w:rsidR="00524114">
        <w:rPr>
          <w:iCs/>
          <w:sz w:val="28"/>
          <w:szCs w:val="28"/>
        </w:rPr>
        <w:t>диплопод</w:t>
      </w:r>
      <w:proofErr w:type="spellEnd"/>
      <w:r w:rsidR="00524114">
        <w:rPr>
          <w:iCs/>
          <w:sz w:val="28"/>
          <w:szCs w:val="28"/>
        </w:rPr>
        <w:t>;</w:t>
      </w:r>
    </w:p>
    <w:p w:rsidR="00524114" w:rsidRDefault="00524114">
      <w:pPr>
        <w:pStyle w:val="ad"/>
        <w:numPr>
          <w:ilvl w:val="0"/>
          <w:numId w:val="1"/>
        </w:numPr>
        <w:tabs>
          <w:tab w:val="clear" w:pos="1920"/>
          <w:tab w:val="left" w:pos="1985"/>
        </w:tabs>
        <w:spacing w:line="360" w:lineRule="auto"/>
        <w:ind w:left="1701" w:hanging="14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сравнение полученных данных с результатами исследования кишечных сообществ других беспозвоночных.</w:t>
      </w: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rPr>
          <w:i/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 xml:space="preserve">Благодарности: Благодарим </w:t>
      </w:r>
      <w:proofErr w:type="spellStart"/>
      <w:r>
        <w:rPr>
          <w:iCs/>
          <w:sz w:val="28"/>
          <w:szCs w:val="28"/>
        </w:rPr>
        <w:t>н.с</w:t>
      </w:r>
      <w:proofErr w:type="spellEnd"/>
      <w:r>
        <w:rPr>
          <w:iCs/>
          <w:sz w:val="28"/>
          <w:szCs w:val="28"/>
        </w:rPr>
        <w:t xml:space="preserve">. ИПЭЭ РАН </w:t>
      </w:r>
      <w:proofErr w:type="spellStart"/>
      <w:r>
        <w:rPr>
          <w:iCs/>
          <w:sz w:val="28"/>
          <w:szCs w:val="28"/>
        </w:rPr>
        <w:t>Семенюк</w:t>
      </w:r>
      <w:proofErr w:type="spellEnd"/>
      <w:r>
        <w:rPr>
          <w:iCs/>
          <w:sz w:val="28"/>
          <w:szCs w:val="28"/>
        </w:rPr>
        <w:t xml:space="preserve"> И.И. и </w:t>
      </w:r>
      <w:proofErr w:type="spellStart"/>
      <w:r>
        <w:rPr>
          <w:iCs/>
          <w:sz w:val="28"/>
          <w:szCs w:val="28"/>
        </w:rPr>
        <w:t>в.н.с</w:t>
      </w:r>
      <w:proofErr w:type="spellEnd"/>
      <w:r>
        <w:rPr>
          <w:iCs/>
          <w:sz w:val="28"/>
          <w:szCs w:val="28"/>
        </w:rPr>
        <w:t>. ИПЭЭ РАН Головача С.И. за предоставление тропических многоножек и их видовую идентификацию, а также Панкратова Т.А. -</w:t>
      </w:r>
      <w:r w:rsidR="0042187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за помощь в предварительном определении бактерий.</w:t>
      </w: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</w:p>
    <w:p w:rsidR="00524114" w:rsidRDefault="00524114">
      <w:pPr>
        <w:tabs>
          <w:tab w:val="num" w:pos="0"/>
          <w:tab w:val="center" w:pos="5600"/>
          <w:tab w:val="left" w:pos="7035"/>
        </w:tabs>
        <w:spacing w:line="360" w:lineRule="auto"/>
        <w:ind w:left="1701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1.Обзор литературы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1.1 Определение концентрации микроорганизмов в питательной среде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микробной кинетике часто используется понятие о концентрации микроорганизмов, изменение величины которой характеризует интенсивность роста или отмирания микроорганизмов. Чаще всего обилие микроорганизмов представляют как сырую или сухую биомассу, определяемую: 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1. напрямую по весу;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по прямому микроскопическому подсчету численности и объёма клеток (в простейших случаях форма клеток определяется по длине и ширине) с последующим пересчетом на биомассу, исходя из данных о плотности микроорганизмов; 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 массе компонентов биомассы: содержанию ДНК, АТФ, фосфолипидов, </w:t>
      </w:r>
      <w:proofErr w:type="spellStart"/>
      <w:r>
        <w:rPr>
          <w:sz w:val="28"/>
          <w:szCs w:val="28"/>
        </w:rPr>
        <w:t>эргостеролов</w:t>
      </w:r>
      <w:proofErr w:type="spellEnd"/>
      <w:r>
        <w:rPr>
          <w:sz w:val="28"/>
          <w:szCs w:val="28"/>
        </w:rPr>
        <w:t>, белков и т.д.;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4. по светорассеянию - для одноклеточных планктонных форм микроорганизмов, не склонных к агрегации;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5. по величине связанного с биомассой микроорганизмов потребления субстрата (например, кислорода) или образования продукта (например, углекислого газа).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Каждый метод имеет свои преимущества, ограничения в применимости и недостатки. На выбор необходимого метода влияют: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1. свойства биомассы (наличие слизи, запасных веществ, мёртвой биомассы);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2. свойства среды культивирования (наличие труднорастворимого осадка, частиц почвы, вязкость);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3. необходимая для исследования точность метода определения биомассы;</w:t>
      </w:r>
    </w:p>
    <w:p w:rsidR="00524114" w:rsidRDefault="00524114">
      <w:pPr>
        <w:tabs>
          <w:tab w:val="center" w:pos="0"/>
          <w:tab w:val="left" w:pos="1701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чувствительность метода (нижний порог обнаружения микроорганизмов избранным методом);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требуемая степень быстроты, </w:t>
      </w:r>
      <w:proofErr w:type="spellStart"/>
      <w:r>
        <w:rPr>
          <w:sz w:val="28"/>
          <w:szCs w:val="28"/>
        </w:rPr>
        <w:t>трудозатратности</w:t>
      </w:r>
      <w:proofErr w:type="spellEnd"/>
      <w:r>
        <w:rPr>
          <w:sz w:val="28"/>
          <w:szCs w:val="28"/>
        </w:rPr>
        <w:t xml:space="preserve"> и стоимости анализа.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Измерение веса является наиболее понятным способом определения биомассы. При весовом методе определения сухой биомассы необходимо отделить клетки от питательной среды, отмыть от внеклеточной слизи (например, полисахаридного матрикса) и высушить. Отмывания проводят в близком к </w:t>
      </w:r>
      <w:proofErr w:type="gramStart"/>
      <w:r>
        <w:rPr>
          <w:sz w:val="28"/>
          <w:szCs w:val="28"/>
        </w:rPr>
        <w:t>изотоническому</w:t>
      </w:r>
      <w:proofErr w:type="gramEnd"/>
      <w:r>
        <w:rPr>
          <w:sz w:val="28"/>
          <w:szCs w:val="28"/>
        </w:rPr>
        <w:t xml:space="preserve"> солевом растворе во избежание осмотического шока у клеток. При подсчете организмов учитывается вес солей, кристаллизованных после высушивания клеток. Метод непригоден, если кроме клеток среда содержит неизвестное количество твердых веществ, которое невозможно отделить от клеток. Ещё один недостаток - для весового определения биомассы требуется большое ее количество. Иногда ограничиваются определением сырой биомассы. А. Робертс установил, что на долю сухой биомассы приходится 25% от сырой. Этот метод менее точен, хотя и требует меньше времени.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Поскольку по плотности биомассы у разных микроорганизмов отличаются несильно, можно, зная объём клеток и их число, приблизительно рассчитать биомассу. Это удобно, когда культура содержит твердые частицы, такие как карбонат кальция.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Кроме того, для измерения биомассы можно использовать количество некоторых компонентов клетки, а именно азота, белка или ДНК в клетках, которое относительно постоянно. 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sz w:val="28"/>
          <w:szCs w:val="28"/>
        </w:rPr>
        <w:t xml:space="preserve">Метод светорассеяния основан на определении количества света, рассеянного суспензией (нефелометрия), либо по ослаблению светового потока, прошедшего через суспензию </w:t>
      </w:r>
      <w:r>
        <w:rPr>
          <w:sz w:val="28"/>
          <w:szCs w:val="28"/>
        </w:rPr>
        <w:lastRenderedPageBreak/>
        <w:t xml:space="preserve">(фотометрия). Нефелометрия является более точным методом, однако часто ее сложно провести, например, для периодических культур. 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рассеивание света оказывают влияние множество факторов, не все из которых поддаются количественному учету. Для гомогенной суспензии клеток соотношение между её концентрацией и длиной светового пути выражается уравнением, аналогичным уравнению </w:t>
      </w:r>
      <w:proofErr w:type="spellStart"/>
      <w:r>
        <w:rPr>
          <w:sz w:val="28"/>
          <w:szCs w:val="28"/>
        </w:rPr>
        <w:t>Бугера</w:t>
      </w:r>
      <w:proofErr w:type="spellEnd"/>
      <w:r>
        <w:rPr>
          <w:sz w:val="28"/>
          <w:szCs w:val="28"/>
        </w:rPr>
        <w:t xml:space="preserve">-Ламберта-Бэра </w:t>
      </w:r>
      <w:r w:rsidRPr="0044577A">
        <w:rPr>
          <w:position w:val="-30"/>
          <w:sz w:val="28"/>
          <w:szCs w:val="28"/>
        </w:rPr>
        <w:object w:dxaOrig="14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36pt" o:ole="">
            <v:imagedata r:id="rId8" o:title=""/>
          </v:shape>
          <o:OLEObject Type="Embed" ProgID="Equation.3" ShapeID="_x0000_i1025" DrawAspect="Content" ObjectID="_1619823386" r:id="rId9"/>
        </w:object>
      </w:r>
      <w:r>
        <w:rPr>
          <w:sz w:val="28"/>
          <w:szCs w:val="28"/>
        </w:rPr>
        <w:t xml:space="preserve">, где </w:t>
      </w:r>
      <w:r w:rsidRPr="0044577A">
        <w:rPr>
          <w:position w:val="-30"/>
          <w:sz w:val="28"/>
          <w:szCs w:val="28"/>
        </w:rPr>
        <w:object w:dxaOrig="800" w:dyaOrig="700">
          <v:shape id="_x0000_i1026" type="#_x0000_t75" style="width:36pt;height:36pt" o:ole="">
            <v:imagedata r:id="rId10" o:title=""/>
          </v:shape>
          <o:OLEObject Type="Embed" ProgID="Equation.3" ShapeID="_x0000_i1026" DrawAspect="Content" ObjectID="_1619823387" r:id="rId11"/>
        </w:object>
      </w:r>
      <w:r>
        <w:rPr>
          <w:sz w:val="28"/>
          <w:szCs w:val="28"/>
        </w:rPr>
        <w:t xml:space="preserve">- есть непрозрачность (или оптическая плотность, или экстинкция), А – коэффициент экстинкции, постоянная величина при определённой форме клеток и при небольших их концентрациях,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- концентрация клеток. Вследствие вторичного рассеивания при больших концентрациях биомассы коэффициент экстинкции резко увеличивается, что делает метод непригодным для использования в концентрированных суспензиях.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tabs>
          <w:tab w:val="center" w:pos="5600"/>
          <w:tab w:val="left" w:pos="7035"/>
        </w:tabs>
        <w:spacing w:line="360" w:lineRule="auto"/>
        <w:ind w:left="170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1.2</w:t>
      </w:r>
      <w:r w:rsidR="0042187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Основы микробной кинетики</w:t>
      </w:r>
    </w:p>
    <w:p w:rsidR="00524114" w:rsidRDefault="00524114">
      <w:pPr>
        <w:tabs>
          <w:tab w:val="left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>Микроорганизмы характеризуются различными экологическими стратегиями, которые, диагностируются по величинам кинетических параметров роста и отмирания микроорганизмов. Таким образом, тип стратегии - это понятие не качественное, а количественное. И для того, чтобы разобраться в экологической классификации микроорганизмов на основе их жизненных стратегий, необходимо описать основы микробной кинетики.</w:t>
      </w:r>
    </w:p>
    <w:p w:rsidR="00524114" w:rsidRDefault="00524114">
      <w:pPr>
        <w:tabs>
          <w:tab w:val="left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Рост микроорганизмов количественно описывается с помощью кинетических параметров. Первый параметр - это скорость роста - </w:t>
      </w:r>
      <w:r w:rsidRPr="0044577A">
        <w:rPr>
          <w:position w:val="-24"/>
          <w:sz w:val="28"/>
          <w:szCs w:val="28"/>
        </w:rPr>
        <w:object w:dxaOrig="700" w:dyaOrig="620">
          <v:shape id="_x0000_i1027" type="#_x0000_t75" style="width:36pt;height:28.5pt" o:ole="">
            <v:imagedata r:id="rId12" o:title=""/>
          </v:shape>
          <o:OLEObject Type="Embed" ProgID="Equation.3" ShapeID="_x0000_i1027" DrawAspect="Content" ObjectID="_1619823388" r:id="rId13"/>
        </w:object>
      </w:r>
      <w:r>
        <w:rPr>
          <w:sz w:val="28"/>
          <w:szCs w:val="28"/>
        </w:rPr>
        <w:t xml:space="preserve">, где </w:t>
      </w:r>
      <w:r>
        <w:rPr>
          <w:i/>
          <w:iCs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- концентрация микроорганизмов в момент времени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.</w:t>
      </w:r>
    </w:p>
    <w:p w:rsidR="00524114" w:rsidRDefault="00524114">
      <w:pPr>
        <w:tabs>
          <w:tab w:val="left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>Скорость роста микроорганизмов почти всегда величина переменная, поэтому она редко используется в качестве одного из основных параметров для экологической характеристики микроорганизмов.</w:t>
      </w:r>
    </w:p>
    <w:p w:rsidR="00524114" w:rsidRDefault="00524114">
      <w:pPr>
        <w:tabs>
          <w:tab w:val="left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Гораздо чаще для характеристики микробного роста используется удельная скорость роста </w:t>
      </w:r>
      <w:r w:rsidRPr="0044577A">
        <w:rPr>
          <w:position w:val="-24"/>
          <w:sz w:val="28"/>
          <w:szCs w:val="28"/>
        </w:rPr>
        <w:object w:dxaOrig="840" w:dyaOrig="620">
          <v:shape id="_x0000_i1028" type="#_x0000_t75" style="width:43.5pt;height:28.5pt" o:ole="">
            <v:imagedata r:id="rId14" o:title=""/>
          </v:shape>
          <o:OLEObject Type="Embed" ProgID="Equation.3" ShapeID="_x0000_i1028" DrawAspect="Content" ObjectID="_1619823389" r:id="rId15"/>
        </w:object>
      </w:r>
      <w:r>
        <w:rPr>
          <w:sz w:val="28"/>
          <w:szCs w:val="28"/>
        </w:rPr>
        <w:t xml:space="preserve">, имеющая размерность, обратную времени (например, 1/ч). В фазе </w:t>
      </w:r>
      <w:proofErr w:type="spellStart"/>
      <w:r>
        <w:rPr>
          <w:sz w:val="28"/>
          <w:szCs w:val="28"/>
        </w:rPr>
        <w:t>нелимитированного</w:t>
      </w:r>
      <w:proofErr w:type="spellEnd"/>
      <w:r>
        <w:rPr>
          <w:sz w:val="28"/>
          <w:szCs w:val="28"/>
        </w:rPr>
        <w:t xml:space="preserve"> ничем роста микроорганизмов</w:t>
      </w:r>
      <w:r>
        <w:rPr>
          <w:i/>
          <w:iCs/>
          <w:sz w:val="28"/>
          <w:szCs w:val="28"/>
        </w:rPr>
        <w:t>, μ</w:t>
      </w:r>
      <w:r>
        <w:rPr>
          <w:sz w:val="28"/>
          <w:szCs w:val="28"/>
        </w:rPr>
        <w:t>=</w:t>
      </w:r>
      <w:r>
        <w:rPr>
          <w:i/>
          <w:iCs/>
          <w:sz w:val="28"/>
          <w:szCs w:val="28"/>
        </w:rPr>
        <w:t>μ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i/>
          <w:iCs/>
          <w:sz w:val="28"/>
          <w:szCs w:val="28"/>
        </w:rPr>
        <w:t>-</w:t>
      </w:r>
      <w:r>
        <w:rPr>
          <w:sz w:val="28"/>
          <w:szCs w:val="28"/>
        </w:rPr>
        <w:t xml:space="preserve"> постоянной величине, максимальной для данных условий культивирования конкретного микроорганизма. Она называется максимальной удельной скоростью роста. Тогда:</w:t>
      </w:r>
    </w:p>
    <w:p w:rsidR="00524114" w:rsidRDefault="00524114">
      <w:pPr>
        <w:tabs>
          <w:tab w:val="left" w:pos="0"/>
        </w:tabs>
        <w:spacing w:line="360" w:lineRule="auto"/>
        <w:ind w:left="1701"/>
        <w:jc w:val="center"/>
        <w:rPr>
          <w:sz w:val="28"/>
          <w:szCs w:val="28"/>
        </w:rPr>
      </w:pPr>
      <w:r w:rsidRPr="0044577A">
        <w:rPr>
          <w:position w:val="-64"/>
          <w:sz w:val="28"/>
          <w:szCs w:val="28"/>
        </w:rPr>
        <w:object w:dxaOrig="980" w:dyaOrig="1660">
          <v:shape id="_x0000_i1029" type="#_x0000_t75" style="width:50.25pt;height:79.5pt" o:ole="">
            <v:imagedata r:id="rId16" o:title=""/>
          </v:shape>
          <o:OLEObject Type="Embed" ProgID="Equation.3" ShapeID="_x0000_i1029" DrawAspect="Content" ObjectID="_1619823390" r:id="rId17"/>
        </w:object>
      </w:r>
    </w:p>
    <w:p w:rsidR="00524114" w:rsidRDefault="00524114">
      <w:pPr>
        <w:tabs>
          <w:tab w:val="center" w:pos="5600"/>
          <w:tab w:val="left" w:pos="7035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Полученное уравнение </w:t>
      </w:r>
      <w:proofErr w:type="spellStart"/>
      <w:r>
        <w:rPr>
          <w:sz w:val="28"/>
          <w:szCs w:val="28"/>
        </w:rPr>
        <w:t>нелимитированного</w:t>
      </w:r>
      <w:proofErr w:type="spellEnd"/>
      <w:r>
        <w:rPr>
          <w:sz w:val="28"/>
          <w:szCs w:val="28"/>
        </w:rPr>
        <w:t xml:space="preserve"> (экспоненциального или логарифмического) роста, которое впервые было выведено голландским учёным Мальтусом и получило в дальнейшем статус экологического закона. Этот закон выполняется, если условия окружающей среды и свойства биомассы не меняются со временем. Закон экспоненциального роста описывает скорость роста эукариотических (простейшие, микроскопические грибы) и прокариотических микроорганизмов, если выполняются данные условия. В практике часто используются другие параметры, производные от  </w:t>
      </w:r>
      <w:r>
        <w:rPr>
          <w:i/>
          <w:iCs/>
          <w:sz w:val="28"/>
          <w:szCs w:val="28"/>
        </w:rPr>
        <w:t>μ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i/>
          <w:iCs/>
          <w:sz w:val="28"/>
          <w:szCs w:val="28"/>
          <w:vertAlign w:val="subscript"/>
        </w:rPr>
        <w:t>.</w:t>
      </w:r>
    </w:p>
    <w:p w:rsidR="00524114" w:rsidRDefault="00524114">
      <w:pPr>
        <w:tabs>
          <w:tab w:val="left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Время удвоения или генерации (</w:t>
      </w:r>
      <w:proofErr w:type="spellStart"/>
      <w:r>
        <w:rPr>
          <w:i/>
          <w:iCs/>
          <w:sz w:val="28"/>
          <w:szCs w:val="28"/>
          <w:lang w:val="en-US"/>
        </w:rPr>
        <w:t>t</w:t>
      </w:r>
      <w:r>
        <w:rPr>
          <w:i/>
          <w:iCs/>
          <w:sz w:val="28"/>
          <w:szCs w:val="28"/>
          <w:vertAlign w:val="subscript"/>
          <w:lang w:val="en-US"/>
        </w:rPr>
        <w:t>g</w:t>
      </w:r>
      <w:proofErr w:type="spellEnd"/>
      <w:r>
        <w:rPr>
          <w:sz w:val="28"/>
          <w:szCs w:val="28"/>
        </w:rPr>
        <w:t>) - время за которое концентрация микроорганизмов удваивается. Для фазы экспоненциального роста она жёстко связана с</w:t>
      </w:r>
      <w:r>
        <w:rPr>
          <w:i/>
          <w:iCs/>
          <w:sz w:val="28"/>
          <w:szCs w:val="28"/>
        </w:rPr>
        <w:t xml:space="preserve"> μ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i/>
          <w:iCs/>
          <w:sz w:val="28"/>
          <w:szCs w:val="28"/>
          <w:vertAlign w:val="subscript"/>
        </w:rPr>
        <w:t xml:space="preserve">. </w:t>
      </w:r>
      <w:r>
        <w:rPr>
          <w:sz w:val="28"/>
          <w:szCs w:val="28"/>
        </w:rPr>
        <w:t xml:space="preserve"> Чтобы вывести эту формулу подставим эти значения в мальтузианское уравнение:</w:t>
      </w:r>
    </w:p>
    <w:p w:rsidR="00524114" w:rsidRDefault="00524114">
      <w:pPr>
        <w:tabs>
          <w:tab w:val="left" w:pos="0"/>
        </w:tabs>
        <w:spacing w:line="360" w:lineRule="auto"/>
        <w:ind w:left="1701"/>
        <w:jc w:val="center"/>
        <w:rPr>
          <w:sz w:val="28"/>
          <w:szCs w:val="28"/>
        </w:rPr>
      </w:pPr>
      <w:r w:rsidRPr="0044577A">
        <w:rPr>
          <w:position w:val="-84"/>
          <w:sz w:val="28"/>
          <w:szCs w:val="28"/>
        </w:rPr>
        <w:object w:dxaOrig="1260" w:dyaOrig="1500">
          <v:shape id="_x0000_i1030" type="#_x0000_t75" style="width:57.75pt;height:1in" o:ole="">
            <v:imagedata r:id="rId18" o:title=""/>
          </v:shape>
          <o:OLEObject Type="Embed" ProgID="Equation.3" ShapeID="_x0000_i1030" DrawAspect="Content" ObjectID="_1619823391" r:id="rId19"/>
        </w:object>
      </w:r>
    </w:p>
    <w:p w:rsidR="00524114" w:rsidRDefault="00524114">
      <w:pPr>
        <w:tabs>
          <w:tab w:val="center" w:pos="54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Следующим важным кинетическим параметром является экономический коэффициент микроорганизмов </w:t>
      </w:r>
      <w:r w:rsidRPr="0044577A">
        <w:rPr>
          <w:position w:val="-24"/>
          <w:sz w:val="28"/>
          <w:szCs w:val="28"/>
        </w:rPr>
        <w:object w:dxaOrig="920" w:dyaOrig="620">
          <v:shape id="_x0000_i1031" type="#_x0000_t75" style="width:43.5pt;height:28.5pt" o:ole="">
            <v:imagedata r:id="rId20" o:title=""/>
          </v:shape>
          <o:OLEObject Type="Embed" ProgID="Equation.3" ShapeID="_x0000_i1031" DrawAspect="Content" ObjectID="_1619823392" r:id="rId21"/>
        </w:object>
      </w: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- концентрация ростового субстрата. Если условия в среде поддерживаются на постоянном уровне, то и экономический коэффициент является постоянной величиной. В упрощенном виде для периодической культуры экономический коэффициент можно рассчитывать по формуле: </w:t>
      </w:r>
      <w:r w:rsidRPr="0044577A">
        <w:rPr>
          <w:position w:val="-24"/>
          <w:sz w:val="28"/>
          <w:szCs w:val="28"/>
        </w:rPr>
        <w:object w:dxaOrig="1240" w:dyaOrig="639">
          <v:shape id="_x0000_i1032" type="#_x0000_t75" style="width:64.5pt;height:28.5pt" o:ole="">
            <v:imagedata r:id="rId22" o:title=""/>
          </v:shape>
          <o:OLEObject Type="Embed" ProgID="Equation.3" ShapeID="_x0000_i1032" DrawAspect="Content" ObjectID="_1619823393" r:id="rId23"/>
        </w:object>
      </w:r>
      <w:r>
        <w:rPr>
          <w:sz w:val="28"/>
          <w:szCs w:val="28"/>
        </w:rPr>
        <w:t xml:space="preserve">, где </w:t>
      </w:r>
      <w:proofErr w:type="spellStart"/>
      <w:r>
        <w:rPr>
          <w:i/>
          <w:iCs/>
          <w:sz w:val="28"/>
          <w:szCs w:val="28"/>
          <w:lang w:val="en-US"/>
        </w:rPr>
        <w:t>x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proofErr w:type="spellEnd"/>
      <w:r>
        <w:rPr>
          <w:i/>
          <w:iCs/>
          <w:sz w:val="28"/>
          <w:szCs w:val="28"/>
        </w:rPr>
        <w:t xml:space="preserve">- </w:t>
      </w:r>
      <w:r>
        <w:rPr>
          <w:sz w:val="28"/>
          <w:szCs w:val="28"/>
        </w:rPr>
        <w:t>максимальная концентрация клеток, которая достигается в периодической культуре микроорганизмов</w:t>
      </w:r>
      <w:r>
        <w:rPr>
          <w:i/>
          <w:iCs/>
          <w:sz w:val="28"/>
          <w:szCs w:val="28"/>
        </w:rPr>
        <w:t xml:space="preserve">. </w:t>
      </w:r>
      <w:r>
        <w:rPr>
          <w:iCs/>
          <w:sz w:val="28"/>
          <w:szCs w:val="28"/>
          <w:lang w:val="en-US"/>
        </w:rPr>
        <w:t>Y</w:t>
      </w:r>
      <w:r>
        <w:rPr>
          <w:iCs/>
          <w:sz w:val="28"/>
          <w:szCs w:val="28"/>
        </w:rPr>
        <w:t xml:space="preserve"> можно рассчитать и по изменению количества продукта жизнедеятельности организмов</w:t>
      </w:r>
      <w:proofErr w:type="gramStart"/>
      <w:r>
        <w:rPr>
          <w:iCs/>
          <w:sz w:val="28"/>
          <w:szCs w:val="28"/>
        </w:rPr>
        <w:t xml:space="preserve">: </w:t>
      </w:r>
      <w:proofErr w:type="gramEnd"/>
      <w:r w:rsidRPr="0044577A">
        <w:rPr>
          <w:position w:val="-28"/>
          <w:sz w:val="28"/>
          <w:szCs w:val="28"/>
        </w:rPr>
        <w:object w:dxaOrig="1240" w:dyaOrig="680">
          <v:shape id="_x0000_i1033" type="#_x0000_t75" style="width:64.5pt;height:36pt" o:ole="">
            <v:imagedata r:id="rId24" o:title=""/>
          </v:shape>
          <o:OLEObject Type="Embed" ProgID="Equation.3" ShapeID="_x0000_i1033" DrawAspect="Content" ObjectID="_1619823394" r:id="rId25"/>
        </w:object>
      </w:r>
      <w:r>
        <w:rPr>
          <w:sz w:val="28"/>
          <w:szCs w:val="28"/>
        </w:rPr>
        <w:t>.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Кроме того, существует метаболический коэффициент </w:t>
      </w:r>
      <w:r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- удельная скорость потребления пищевого субстрата культурой в данный момент времени: </w:t>
      </w:r>
      <w:r w:rsidRPr="0044577A">
        <w:rPr>
          <w:position w:val="-24"/>
          <w:sz w:val="28"/>
          <w:szCs w:val="28"/>
        </w:rPr>
        <w:object w:dxaOrig="820" w:dyaOrig="620">
          <v:shape id="_x0000_i1034" type="#_x0000_t75" style="width:43.5pt;height:28.5pt" o:ole="">
            <v:imagedata r:id="rId26" o:title=""/>
          </v:shape>
          <o:OLEObject Type="Embed" ProgID="Equation.3" ShapeID="_x0000_i1034" DrawAspect="Content" ObjectID="_1619823395" r:id="rId27"/>
        </w:object>
      </w:r>
      <w:r>
        <w:rPr>
          <w:sz w:val="28"/>
          <w:szCs w:val="28"/>
        </w:rPr>
        <w:t xml:space="preserve">. По </w:t>
      </w:r>
      <w:proofErr w:type="gramStart"/>
      <w:r>
        <w:rPr>
          <w:sz w:val="28"/>
          <w:szCs w:val="28"/>
        </w:rPr>
        <w:t>сути</w:t>
      </w:r>
      <w:proofErr w:type="gramEnd"/>
      <w:r>
        <w:rPr>
          <w:sz w:val="28"/>
          <w:szCs w:val="28"/>
        </w:rPr>
        <w:t xml:space="preserve"> этот коэффициент аналогичен ферментативной активности. Он постоянен, если условия окружающей среды и культуры не изменяются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44577A">
        <w:rPr>
          <w:position w:val="-24"/>
          <w:sz w:val="28"/>
          <w:szCs w:val="28"/>
        </w:rPr>
        <w:object w:dxaOrig="660" w:dyaOrig="620">
          <v:shape id="_x0000_i1035" type="#_x0000_t75" style="width:28.5pt;height:28.5pt" o:ole="">
            <v:imagedata r:id="rId28" o:title=""/>
          </v:shape>
          <o:OLEObject Type="Embed" ProgID="Equation.3" ShapeID="_x0000_i1035" DrawAspect="Content" ObjectID="_1619823396" r:id="rId29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  <w:u w:val="single"/>
        </w:rPr>
        <w:t>т</w:t>
      </w:r>
      <w:proofErr w:type="gramEnd"/>
      <w:r>
        <w:rPr>
          <w:sz w:val="28"/>
          <w:szCs w:val="28"/>
          <w:u w:val="single"/>
        </w:rPr>
        <w:t>о есть метаболический коэффициент равен отношению удельной скорости роста к урожаю микроорганизмов</w:t>
      </w:r>
      <w:r>
        <w:rPr>
          <w:sz w:val="28"/>
          <w:szCs w:val="28"/>
        </w:rPr>
        <w:t xml:space="preserve">. Таким образом, </w:t>
      </w:r>
      <w:r>
        <w:rPr>
          <w:i/>
          <w:sz w:val="28"/>
          <w:szCs w:val="28"/>
          <w:lang w:val="en-US"/>
        </w:rPr>
        <w:t>q</w:t>
      </w:r>
      <w:r w:rsidR="00655A29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определяет потребность культуры в субстрате для различных скоростей роста данной культуры.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условиях избытка пищевого субстрата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в питательной среде (при экспоненциальном росте) </w:t>
      </w:r>
      <w:r>
        <w:rPr>
          <w:i/>
          <w:iCs/>
          <w:sz w:val="28"/>
          <w:szCs w:val="28"/>
        </w:rPr>
        <w:t xml:space="preserve">μ </w:t>
      </w:r>
      <w:r>
        <w:rPr>
          <w:iCs/>
          <w:sz w:val="28"/>
          <w:szCs w:val="28"/>
        </w:rPr>
        <w:t>и</w:t>
      </w:r>
      <w:r w:rsidR="00655A29">
        <w:rPr>
          <w:iCs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q</w:t>
      </w:r>
      <w:r w:rsidR="00655A2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не зависят от концентрации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и достигают своих максимумов </w:t>
      </w:r>
      <w:r>
        <w:rPr>
          <w:i/>
          <w:iCs/>
          <w:sz w:val="28"/>
          <w:szCs w:val="28"/>
        </w:rPr>
        <w:t>μ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 w:rsidR="00655A29">
        <w:rPr>
          <w:i/>
          <w:iCs/>
          <w:sz w:val="28"/>
          <w:szCs w:val="28"/>
          <w:vertAlign w:val="subscript"/>
        </w:rPr>
        <w:t xml:space="preserve"> </w:t>
      </w:r>
      <w:r>
        <w:rPr>
          <w:i/>
          <w:iCs/>
          <w:sz w:val="28"/>
          <w:szCs w:val="28"/>
        </w:rPr>
        <w:t>и</w:t>
      </w:r>
      <w:r w:rsidR="00655A29"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q</w:t>
      </w:r>
      <w:r>
        <w:rPr>
          <w:i/>
          <w:sz w:val="28"/>
          <w:szCs w:val="28"/>
          <w:vertAlign w:val="subscript"/>
          <w:lang w:val="en-US"/>
        </w:rPr>
        <w:t>m</w:t>
      </w:r>
      <w:proofErr w:type="spellEnd"/>
      <w:r>
        <w:rPr>
          <w:i/>
          <w:sz w:val="28"/>
          <w:szCs w:val="28"/>
        </w:rPr>
        <w:t>.</w:t>
      </w:r>
      <w:r w:rsidR="00655A2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Однако при снижении концентрации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до некоторого уровня наблюдается зависимость этих параметров от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. Эта зависимость описывается уравнением Моно следующего вида: </w:t>
      </w:r>
      <w:r w:rsidRPr="0044577A">
        <w:rPr>
          <w:position w:val="-30"/>
          <w:sz w:val="28"/>
          <w:szCs w:val="28"/>
        </w:rPr>
        <w:object w:dxaOrig="1080" w:dyaOrig="680">
          <v:shape id="_x0000_i1036" type="#_x0000_t75" style="width:50.25pt;height:36pt" o:ole="">
            <v:imagedata r:id="rId30" o:title=""/>
          </v:shape>
          <o:OLEObject Type="Embed" ProgID="Equation.3" ShapeID="_x0000_i1036" DrawAspect="Content" ObjectID="_1619823397" r:id="rId31"/>
        </w:object>
      </w:r>
      <w:r>
        <w:rPr>
          <w:sz w:val="28"/>
          <w:szCs w:val="28"/>
        </w:rPr>
        <w:t xml:space="preserve">, </w:t>
      </w:r>
      <w:r w:rsidRPr="0044577A">
        <w:rPr>
          <w:position w:val="-30"/>
          <w:sz w:val="28"/>
          <w:szCs w:val="28"/>
        </w:rPr>
        <w:object w:dxaOrig="1120" w:dyaOrig="680">
          <v:shape id="_x0000_i1037" type="#_x0000_t75" style="width:57.75pt;height:36pt" o:ole="">
            <v:imagedata r:id="rId32" o:title=""/>
          </v:shape>
          <o:OLEObject Type="Embed" ProgID="Equation.3" ShapeID="_x0000_i1037" DrawAspect="Content" ObjectID="_1619823398" r:id="rId33"/>
        </w:object>
      </w:r>
      <w:r>
        <w:rPr>
          <w:sz w:val="28"/>
          <w:szCs w:val="28"/>
        </w:rPr>
        <w:t xml:space="preserve"> где </w:t>
      </w:r>
      <w:r>
        <w:rPr>
          <w:i/>
          <w:sz w:val="28"/>
          <w:szCs w:val="28"/>
          <w:lang w:val="en-US"/>
        </w:rPr>
        <w:t>K</w:t>
      </w:r>
      <w:r>
        <w:rPr>
          <w:i/>
          <w:sz w:val="28"/>
          <w:szCs w:val="28"/>
          <w:vertAlign w:val="subscript"/>
          <w:lang w:val="en-US"/>
        </w:rPr>
        <w:t>s</w:t>
      </w:r>
      <w:r w:rsidR="00655A29"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константа </w:t>
      </w:r>
      <w:proofErr w:type="spellStart"/>
      <w:r>
        <w:rPr>
          <w:sz w:val="28"/>
          <w:szCs w:val="28"/>
        </w:rPr>
        <w:t>полунасыщения</w:t>
      </w:r>
      <w:proofErr w:type="spellEnd"/>
      <w:r>
        <w:rPr>
          <w:sz w:val="28"/>
          <w:szCs w:val="28"/>
        </w:rPr>
        <w:t xml:space="preserve">, аналогичная константе </w:t>
      </w:r>
      <w:proofErr w:type="spellStart"/>
      <w:r>
        <w:rPr>
          <w:sz w:val="28"/>
          <w:szCs w:val="28"/>
        </w:rPr>
        <w:t>Михаэлиса-Ментен</w:t>
      </w:r>
      <w:proofErr w:type="spellEnd"/>
      <w:r>
        <w:rPr>
          <w:sz w:val="28"/>
          <w:szCs w:val="28"/>
        </w:rPr>
        <w:t xml:space="preserve"> для ферментативной кинетики и равна концентрации пищевого субстрата, при которой достигается половина </w:t>
      </w:r>
      <w:r>
        <w:rPr>
          <w:i/>
          <w:iCs/>
          <w:sz w:val="28"/>
          <w:szCs w:val="28"/>
        </w:rPr>
        <w:t>μ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 xml:space="preserve">. Константа насыщения, как и экономический коэффициент при условии отсутствия отравления культуры продуктами ее жизнедеятельности, является постоянной величиной. Однако при очень низкой концентрации субстратов величина константы селективности уменьшается, а экономический коэффициент возрастает. Константа </w:t>
      </w:r>
      <w:proofErr w:type="spellStart"/>
      <w:r>
        <w:rPr>
          <w:sz w:val="28"/>
          <w:szCs w:val="28"/>
        </w:rPr>
        <w:t>полунасыщения</w:t>
      </w:r>
      <w:proofErr w:type="spellEnd"/>
      <w:r>
        <w:rPr>
          <w:sz w:val="28"/>
          <w:szCs w:val="28"/>
        </w:rPr>
        <w:t xml:space="preserve"> - это мера эффективности поглощения пищевого субстрата микроорганизмами. 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Фазе экспоненциального роста часто предшествует период задержки роста, возникающий после попадания культуры в питательную среду. Этот период получил название лаг-фаза. Лаг-фаза характеризуется двумя величинами: длительность </w:t>
      </w:r>
      <w:proofErr w:type="gramStart"/>
      <w:r>
        <w:rPr>
          <w:sz w:val="28"/>
          <w:szCs w:val="28"/>
        </w:rPr>
        <w:t>лаг-фазы</w:t>
      </w:r>
      <w:proofErr w:type="gramEnd"/>
      <w:r>
        <w:rPr>
          <w:sz w:val="28"/>
          <w:szCs w:val="28"/>
        </w:rPr>
        <w:t xml:space="preserve"> λ (ч) и начальное значение переменной физиологического состояния микроорганизмов (безразмерная величина) (Перт, 1978) . </w:t>
      </w:r>
    </w:p>
    <w:p w:rsidR="00524114" w:rsidRDefault="00524114">
      <w:p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Первая из формул, теоретически описывающих рост микроорганизмов в периодической культуре, - модель экспоненциального роста, приведенная выше. Она не учитывала фазу замедления роста и стационарную фазу, а также лаг-фазу, </w:t>
      </w:r>
      <w:r>
        <w:rPr>
          <w:sz w:val="28"/>
          <w:szCs w:val="28"/>
        </w:rPr>
        <w:lastRenderedPageBreak/>
        <w:t xml:space="preserve">поэтому в дальнейшем для описания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-образного роста использовалась логистическая формула </w:t>
      </w:r>
      <w:proofErr w:type="spellStart"/>
      <w:r>
        <w:rPr>
          <w:sz w:val="28"/>
          <w:szCs w:val="28"/>
        </w:rPr>
        <w:t>Ферхюльста</w:t>
      </w:r>
      <w:proofErr w:type="spellEnd"/>
      <w:r>
        <w:rPr>
          <w:sz w:val="28"/>
          <w:szCs w:val="28"/>
        </w:rPr>
        <w:t>, дополнившая модель Мальтуса:</w:t>
      </w:r>
    </w:p>
    <w:p w:rsidR="00524114" w:rsidRDefault="00524114">
      <w:pPr>
        <w:tabs>
          <w:tab w:val="center" w:pos="5600"/>
          <w:tab w:val="left" w:pos="7035"/>
        </w:tabs>
        <w:spacing w:line="360" w:lineRule="auto"/>
        <w:ind w:left="1701"/>
        <w:jc w:val="both"/>
        <w:rPr>
          <w:sz w:val="28"/>
          <w:szCs w:val="28"/>
        </w:rPr>
      </w:pPr>
      <w:r w:rsidRPr="0044577A">
        <w:rPr>
          <w:position w:val="-24"/>
          <w:sz w:val="28"/>
          <w:szCs w:val="28"/>
        </w:rPr>
        <w:object w:dxaOrig="1719" w:dyaOrig="620">
          <v:shape id="_x0000_i1038" type="#_x0000_t75" style="width:86.25pt;height:28.5pt" o:ole="">
            <v:imagedata r:id="rId34" o:title=""/>
          </v:shape>
          <o:OLEObject Type="Embed" ProgID="Equation.3" ShapeID="_x0000_i1038" DrawAspect="Content" ObjectID="_1619823399" r:id="rId35"/>
        </w:object>
      </w:r>
      <w:r>
        <w:rPr>
          <w:sz w:val="28"/>
          <w:szCs w:val="28"/>
        </w:rPr>
        <w:t>, где</w:t>
      </w:r>
      <w:proofErr w:type="gramStart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– поддерживающая емкость среды.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Недостатками этой модели являются следующие положения: </w:t>
      </w:r>
    </w:p>
    <w:p w:rsidR="00524114" w:rsidRDefault="00524114">
      <w:pPr>
        <w:numPr>
          <w:ilvl w:val="2"/>
          <w:numId w:val="1"/>
        </w:numPr>
        <w:tabs>
          <w:tab w:val="clear" w:pos="3076"/>
          <w:tab w:val="left" w:pos="540"/>
          <w:tab w:val="center" w:pos="2268"/>
        </w:tabs>
        <w:spacing w:line="360" w:lineRule="auto"/>
        <w:ind w:left="22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точка перегиба функции достигается строго при 0,5 </w:t>
      </w:r>
      <w:r>
        <w:rPr>
          <w:i/>
          <w:sz w:val="28"/>
          <w:szCs w:val="28"/>
        </w:rPr>
        <w:t>К</w:t>
      </w:r>
      <w:r>
        <w:rPr>
          <w:sz w:val="28"/>
          <w:szCs w:val="28"/>
        </w:rPr>
        <w:t>, что далеко не всегда соответствует действительности;</w:t>
      </w:r>
    </w:p>
    <w:p w:rsidR="00524114" w:rsidRDefault="00524114">
      <w:pPr>
        <w:numPr>
          <w:ilvl w:val="2"/>
          <w:numId w:val="1"/>
        </w:numPr>
        <w:tabs>
          <w:tab w:val="clear" w:pos="3076"/>
          <w:tab w:val="left" w:pos="540"/>
          <w:tab w:val="center" w:pos="1701"/>
        </w:tabs>
        <w:spacing w:line="360" w:lineRule="auto"/>
        <w:ind w:left="2268" w:hanging="283"/>
        <w:jc w:val="both"/>
        <w:rPr>
          <w:sz w:val="28"/>
          <w:szCs w:val="28"/>
        </w:rPr>
      </w:pPr>
      <w:r>
        <w:rPr>
          <w:sz w:val="28"/>
          <w:szCs w:val="28"/>
        </w:rPr>
        <w:t>модель не описывает лаг-фазу.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связи с этим встала необходимость разработки нового математического аппарата, которым с середины 20 века стала модель простой периодической культуры Моно: 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  <w:r w:rsidRPr="0044577A">
        <w:rPr>
          <w:position w:val="-96"/>
          <w:sz w:val="28"/>
          <w:szCs w:val="28"/>
        </w:rPr>
        <w:object w:dxaOrig="1280" w:dyaOrig="2040">
          <v:shape id="_x0000_i1039" type="#_x0000_t75" style="width:64.5pt;height:100.5pt" o:ole="">
            <v:imagedata r:id="rId36" o:title=""/>
          </v:shape>
          <o:OLEObject Type="Embed" ProgID="Equation.3" ShapeID="_x0000_i1039" DrawAspect="Content" ObjectID="_1619823400" r:id="rId37"/>
        </w:objec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Этот математический аппарат решил первую проблему - точка перегиба стала независимой от величины плато, на которое выходит концентрация микроорганизмов в периодической культуре. Однако она не описывает лаг-фазу, т.е. не решает второй вопрос. </w:t>
      </w:r>
    </w:p>
    <w:p w:rsidR="00524114" w:rsidRDefault="00524114">
      <w:pPr>
        <w:tabs>
          <w:tab w:val="left" w:pos="540"/>
          <w:tab w:val="left" w:pos="1701"/>
          <w:tab w:val="left" w:pos="1985"/>
          <w:tab w:val="left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Модель, описывающая лаг-фазу была предложена Н.С. </w:t>
      </w:r>
      <w:proofErr w:type="spellStart"/>
      <w:r>
        <w:rPr>
          <w:sz w:val="28"/>
          <w:szCs w:val="28"/>
        </w:rPr>
        <w:t>Паниковым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дополнившим</w:t>
      </w:r>
      <w:proofErr w:type="gramEnd"/>
      <w:r>
        <w:rPr>
          <w:sz w:val="28"/>
          <w:szCs w:val="28"/>
        </w:rPr>
        <w:t xml:space="preserve"> модель Моно: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  <w:r w:rsidRPr="0044577A">
        <w:rPr>
          <w:position w:val="-128"/>
          <w:sz w:val="28"/>
          <w:szCs w:val="28"/>
        </w:rPr>
        <w:object w:dxaOrig="1680" w:dyaOrig="2680">
          <v:shape id="_x0000_i1040" type="#_x0000_t75" style="width:86.25pt;height:136.5pt" o:ole="">
            <v:imagedata r:id="rId38" o:title=""/>
          </v:shape>
          <o:OLEObject Type="Embed" ProgID="Equation.3" ShapeID="_x0000_i1040" DrawAspect="Content" ObjectID="_1619823401" r:id="rId39"/>
        </w:objec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где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переменная физиологического состояния, т.е. готовность микроорганизмов к росту (</w:t>
      </w:r>
      <w:proofErr w:type="spellStart"/>
      <w:r>
        <w:rPr>
          <w:sz w:val="28"/>
          <w:szCs w:val="28"/>
        </w:rPr>
        <w:t>Паников</w:t>
      </w:r>
      <w:proofErr w:type="spellEnd"/>
      <w:r>
        <w:rPr>
          <w:sz w:val="28"/>
          <w:szCs w:val="28"/>
        </w:rPr>
        <w:t>, 1992).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pStyle w:val="ad"/>
        <w:tabs>
          <w:tab w:val="left" w:pos="540"/>
          <w:tab w:val="center" w:pos="2127"/>
        </w:tabs>
        <w:spacing w:line="360" w:lineRule="auto"/>
        <w:ind w:left="98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1.3 Экологические стратегии микроорганизмов</w:t>
      </w:r>
    </w:p>
    <w:p w:rsidR="00524114" w:rsidRDefault="00524114" w:rsidP="00655A29">
      <w:pPr>
        <w:tabs>
          <w:tab w:val="left" w:pos="540"/>
          <w:tab w:val="left" w:pos="2268"/>
          <w:tab w:val="left" w:pos="2410"/>
        </w:tabs>
        <w:spacing w:line="360" w:lineRule="auto"/>
        <w:ind w:left="1701"/>
        <w:rPr>
          <w:iCs/>
          <w:sz w:val="28"/>
          <w:szCs w:val="28"/>
        </w:rPr>
      </w:pPr>
      <w:r>
        <w:rPr>
          <w:sz w:val="28"/>
          <w:szCs w:val="28"/>
        </w:rPr>
        <w:tab/>
        <w:t xml:space="preserve">При изучении экофизиологических характеристик микроорганизмов особенно важно понимание их жизненных (экологических) стратегий. Экологическая стратегия – совокупность приспособлений вида к определённым условиям существования, которые обеспечивают его выживание. Различают три крайних формы стратегии в пределах континуума экологических стратегий. Каждый отдельный вид имеет своё уникальное сочетание признаков трёх основных типов стратегий: </w:t>
      </w:r>
      <w:r>
        <w:rPr>
          <w:i/>
          <w:iCs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или </w:t>
      </w:r>
      <w:r>
        <w:rPr>
          <w:i/>
          <w:iCs/>
          <w:sz w:val="28"/>
          <w:szCs w:val="28"/>
          <w:lang w:val="en-US"/>
        </w:rPr>
        <w:t>L</w:t>
      </w:r>
      <w:r>
        <w:rPr>
          <w:i/>
          <w:iCs/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br/>
      </w:r>
      <w:r w:rsidRPr="00655A29">
        <w:rPr>
          <w:iCs/>
          <w:sz w:val="28"/>
          <w:szCs w:val="28"/>
        </w:rPr>
        <w:t>Р.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Уиттекер</w:t>
      </w:r>
      <w:proofErr w:type="spellEnd"/>
      <w:r>
        <w:rPr>
          <w:iCs/>
          <w:sz w:val="28"/>
          <w:szCs w:val="28"/>
        </w:rPr>
        <w:t xml:space="preserve"> (</w:t>
      </w:r>
      <w:proofErr w:type="spellStart"/>
      <w:r>
        <w:rPr>
          <w:iCs/>
          <w:sz w:val="28"/>
          <w:szCs w:val="28"/>
        </w:rPr>
        <w:t>Уиттекер</w:t>
      </w:r>
      <w:proofErr w:type="spellEnd"/>
      <w:r>
        <w:rPr>
          <w:iCs/>
          <w:sz w:val="28"/>
          <w:szCs w:val="28"/>
        </w:rPr>
        <w:t>, 1975) выделяет 3 типа стратегий жизни популяций по динамике численности между верхними и нижними пределами их обилия в природе:</w:t>
      </w:r>
      <w:r>
        <w:rPr>
          <w:iCs/>
          <w:sz w:val="28"/>
          <w:szCs w:val="28"/>
        </w:rPr>
        <w:br/>
      </w:r>
      <w:r>
        <w:rPr>
          <w:iCs/>
          <w:sz w:val="28"/>
          <w:szCs w:val="28"/>
        </w:rPr>
        <w:tab/>
      </w:r>
      <w:r>
        <w:rPr>
          <w:i/>
          <w:iCs/>
          <w:sz w:val="28"/>
          <w:szCs w:val="28"/>
          <w:lang w:val="en-US"/>
        </w:rPr>
        <w:t>K</w:t>
      </w:r>
      <w:r>
        <w:rPr>
          <w:iCs/>
          <w:sz w:val="28"/>
          <w:szCs w:val="28"/>
        </w:rPr>
        <w:t>-стратеги (</w:t>
      </w:r>
      <w:proofErr w:type="spellStart"/>
      <w:r>
        <w:rPr>
          <w:iCs/>
          <w:sz w:val="28"/>
          <w:szCs w:val="28"/>
        </w:rPr>
        <w:t>виоленты</w:t>
      </w:r>
      <w:proofErr w:type="spellEnd"/>
      <w:r>
        <w:rPr>
          <w:iCs/>
          <w:sz w:val="28"/>
          <w:szCs w:val="28"/>
        </w:rPr>
        <w:t>) поддерживают численность у верхнего предела за счёт дифференциации экологических ниш.</w:t>
      </w:r>
    </w:p>
    <w:p w:rsidR="00524114" w:rsidRDefault="00524114">
      <w:pPr>
        <w:tabs>
          <w:tab w:val="left" w:pos="540"/>
          <w:tab w:val="left" w:pos="2268"/>
        </w:tabs>
        <w:spacing w:line="360" w:lineRule="auto"/>
        <w:ind w:left="1701"/>
        <w:jc w:val="both"/>
        <w:rPr>
          <w:iCs/>
          <w:color w:val="C00000"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  <w:lang w:val="en-US"/>
        </w:rPr>
        <w:t>L</w:t>
      </w:r>
      <w:r>
        <w:rPr>
          <w:iCs/>
          <w:sz w:val="28"/>
          <w:szCs w:val="28"/>
        </w:rPr>
        <w:t>-стратеги (стресс-</w:t>
      </w:r>
      <w:proofErr w:type="spellStart"/>
      <w:r>
        <w:rPr>
          <w:iCs/>
          <w:sz w:val="28"/>
          <w:szCs w:val="28"/>
        </w:rPr>
        <w:t>толеранты</w:t>
      </w:r>
      <w:proofErr w:type="spellEnd"/>
      <w:r>
        <w:rPr>
          <w:iCs/>
          <w:sz w:val="28"/>
          <w:szCs w:val="28"/>
        </w:rPr>
        <w:t>) поддерживают свою численность у нижнего предела за счёт переживания неблагоприятных условий в состоянии покоя при отсутствии конкурентов, а именно – путем образования спор и цист (для бактерий).</w:t>
      </w:r>
    </w:p>
    <w:p w:rsidR="00524114" w:rsidRDefault="00524114">
      <w:pPr>
        <w:tabs>
          <w:tab w:val="left" w:pos="540"/>
          <w:tab w:val="left" w:pos="2127"/>
        </w:tabs>
        <w:spacing w:line="360" w:lineRule="auto"/>
        <w:ind w:left="1701" w:hanging="567"/>
        <w:jc w:val="both"/>
        <w:rPr>
          <w:iCs/>
          <w:color w:val="C00000"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  <w:lang w:val="en-US"/>
        </w:rPr>
        <w:t>r</w:t>
      </w:r>
      <w:r>
        <w:rPr>
          <w:i/>
          <w:iCs/>
          <w:sz w:val="28"/>
          <w:szCs w:val="28"/>
        </w:rPr>
        <w:t>-</w:t>
      </w:r>
      <w:r>
        <w:rPr>
          <w:iCs/>
          <w:sz w:val="28"/>
          <w:szCs w:val="28"/>
        </w:rPr>
        <w:t>стратеги (</w:t>
      </w:r>
      <w:proofErr w:type="spellStart"/>
      <w:r>
        <w:rPr>
          <w:iCs/>
          <w:sz w:val="28"/>
          <w:szCs w:val="28"/>
        </w:rPr>
        <w:t>патиенты</w:t>
      </w:r>
      <w:proofErr w:type="spellEnd"/>
      <w:r>
        <w:rPr>
          <w:iCs/>
          <w:sz w:val="28"/>
          <w:szCs w:val="28"/>
        </w:rPr>
        <w:t xml:space="preserve">): характеризуются колебанием обилия от верхних до нижних пределов; стремятся к максимально возможному увеличению численности в благоприятных условиях. 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iCs/>
          <w:color w:val="C00000"/>
          <w:sz w:val="28"/>
          <w:szCs w:val="28"/>
        </w:rPr>
      </w:pPr>
      <w:r>
        <w:rPr>
          <w:iCs/>
          <w:sz w:val="28"/>
          <w:szCs w:val="28"/>
        </w:rPr>
        <w:tab/>
        <w:t xml:space="preserve">Аналогичная классификация для растений была предложена Л.Г. Раменским в 1938 году. Она разделяет организмы на </w:t>
      </w:r>
      <w:proofErr w:type="spellStart"/>
      <w:r>
        <w:rPr>
          <w:iCs/>
          <w:sz w:val="28"/>
          <w:szCs w:val="28"/>
        </w:rPr>
        <w:t>виоленты</w:t>
      </w:r>
      <w:proofErr w:type="spellEnd"/>
      <w:r>
        <w:rPr>
          <w:iCs/>
          <w:sz w:val="28"/>
          <w:szCs w:val="28"/>
        </w:rPr>
        <w:t xml:space="preserve"> (К-</w:t>
      </w:r>
      <w:r>
        <w:rPr>
          <w:iCs/>
          <w:sz w:val="28"/>
          <w:szCs w:val="28"/>
        </w:rPr>
        <w:lastRenderedPageBreak/>
        <w:t xml:space="preserve">стратеги), </w:t>
      </w:r>
      <w:proofErr w:type="spellStart"/>
      <w:r>
        <w:rPr>
          <w:iCs/>
          <w:sz w:val="28"/>
          <w:szCs w:val="28"/>
        </w:rPr>
        <w:t>патиенты</w:t>
      </w:r>
      <w:proofErr w:type="spellEnd"/>
      <w:r>
        <w:rPr>
          <w:iCs/>
          <w:sz w:val="28"/>
          <w:szCs w:val="28"/>
        </w:rPr>
        <w:t xml:space="preserve"> (</w:t>
      </w:r>
      <w:r>
        <w:rPr>
          <w:iCs/>
          <w:sz w:val="28"/>
          <w:szCs w:val="28"/>
          <w:lang w:val="en-US"/>
        </w:rPr>
        <w:t>L</w:t>
      </w:r>
      <w:r>
        <w:rPr>
          <w:iCs/>
          <w:sz w:val="28"/>
          <w:szCs w:val="28"/>
        </w:rPr>
        <w:t xml:space="preserve">-стратеги) и </w:t>
      </w:r>
      <w:proofErr w:type="spellStart"/>
      <w:r>
        <w:rPr>
          <w:iCs/>
          <w:sz w:val="28"/>
          <w:szCs w:val="28"/>
        </w:rPr>
        <w:t>эксплеренты</w:t>
      </w:r>
      <w:proofErr w:type="spellEnd"/>
      <w:r>
        <w:rPr>
          <w:iCs/>
          <w:sz w:val="28"/>
          <w:szCs w:val="28"/>
        </w:rPr>
        <w:t xml:space="preserve"> (</w:t>
      </w:r>
      <w:r>
        <w:rPr>
          <w:iCs/>
          <w:sz w:val="28"/>
          <w:szCs w:val="28"/>
          <w:lang w:val="en-US"/>
        </w:rPr>
        <w:t>r</w:t>
      </w:r>
      <w:r>
        <w:rPr>
          <w:iCs/>
          <w:sz w:val="28"/>
          <w:szCs w:val="28"/>
        </w:rPr>
        <w:t>-стратеги), и</w:t>
      </w:r>
      <w:r>
        <w:rPr>
          <w:sz w:val="28"/>
          <w:szCs w:val="28"/>
        </w:rPr>
        <w:t>х сравнение приведено в таблице 1.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 w:hanging="1843"/>
        <w:jc w:val="both"/>
        <w:rPr>
          <w:sz w:val="28"/>
          <w:szCs w:val="28"/>
        </w:rPr>
      </w:pP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 w:hanging="1843"/>
        <w:jc w:val="both"/>
        <w:rPr>
          <w:sz w:val="28"/>
          <w:szCs w:val="28"/>
        </w:rPr>
      </w:pPr>
      <w:r>
        <w:rPr>
          <w:sz w:val="28"/>
          <w:szCs w:val="28"/>
        </w:rPr>
        <w:t>Таблица 1. – Сравнение экологических стратегий  для микроорганизмов</w:t>
      </w:r>
      <w:r>
        <w:rPr>
          <w:sz w:val="28"/>
          <w:szCs w:val="28"/>
        </w:rPr>
        <w:tab/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268"/>
        <w:gridCol w:w="2410"/>
        <w:gridCol w:w="2835"/>
      </w:tblGrid>
      <w:tr w:rsidR="00524114">
        <w:trPr>
          <w:trHeight w:val="1540"/>
        </w:trPr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-стратегия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</w:rPr>
              <w:t>-стратегия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L</w:t>
            </w:r>
            <w:r>
              <w:rPr>
                <w:i/>
                <w:iCs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стратегия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μ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маленькая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большая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λ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маленькая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маленькая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K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s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маленькая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</w:t>
            </w:r>
          </w:p>
        </w:tc>
      </w:tr>
      <w:tr w:rsidR="00524114">
        <w:trPr>
          <w:trHeight w:val="557"/>
        </w:trPr>
        <w:tc>
          <w:tcPr>
            <w:tcW w:w="2660" w:type="dxa"/>
          </w:tcPr>
          <w:p w:rsidR="00524114" w:rsidRDefault="00524114">
            <w:pPr>
              <w:tabs>
                <w:tab w:val="left" w:pos="851"/>
                <w:tab w:val="center" w:pos="5600"/>
              </w:tabs>
              <w:spacing w:line="360" w:lineRule="auto"/>
              <w:ind w:right="-2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Траты на поддержание жизнедеятельности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большие 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маленькие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большие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Стадии сукцессии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начальные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поздние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начальные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Y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большой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маленький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большой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Переменная физиологического</w:t>
            </w:r>
          </w:p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состояния в момент начала роста</w:t>
            </w:r>
          </w:p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ρ</w:t>
            </w:r>
            <w:r>
              <w:rPr>
                <w:i/>
                <w:iCs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маленькая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маленькая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большая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q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большая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маленькая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большая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Способность к синтезу антибиотиков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Не характерна, как правило являются </w:t>
            </w:r>
            <w:proofErr w:type="spellStart"/>
            <w:r>
              <w:rPr>
                <w:iCs/>
                <w:sz w:val="28"/>
                <w:szCs w:val="28"/>
              </w:rPr>
              <w:t>токсинообразователями</w:t>
            </w:r>
            <w:proofErr w:type="spellEnd"/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есть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42"/>
                <w:tab w:val="left" w:pos="2027"/>
                <w:tab w:val="center" w:pos="5600"/>
              </w:tabs>
              <w:spacing w:line="360" w:lineRule="auto"/>
              <w:ind w:right="390"/>
              <w:jc w:val="both"/>
              <w:rPr>
                <w:iCs/>
                <w:szCs w:val="28"/>
              </w:rPr>
            </w:pPr>
            <w:r>
              <w:rPr>
                <w:iCs/>
                <w:sz w:val="28"/>
                <w:szCs w:val="28"/>
              </w:rPr>
              <w:t>В зависимости от вида</w:t>
            </w:r>
          </w:p>
        </w:tc>
      </w:tr>
      <w:tr w:rsidR="00524114">
        <w:tc>
          <w:tcPr>
            <w:tcW w:w="266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Покоящиеся формы</w:t>
            </w:r>
          </w:p>
        </w:tc>
        <w:tc>
          <w:tcPr>
            <w:tcW w:w="2268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часты</w:t>
            </w:r>
          </w:p>
        </w:tc>
        <w:tc>
          <w:tcPr>
            <w:tcW w:w="241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более редки</w:t>
            </w:r>
          </w:p>
        </w:tc>
        <w:tc>
          <w:tcPr>
            <w:tcW w:w="283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Особенно часты</w:t>
            </w:r>
          </w:p>
        </w:tc>
      </w:tr>
    </w:tbl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  <w:lang w:val="en-US"/>
        </w:rPr>
      </w:pPr>
    </w:p>
    <w:p w:rsidR="00524114" w:rsidRDefault="00524114">
      <w:pPr>
        <w:tabs>
          <w:tab w:val="left" w:pos="540"/>
          <w:tab w:val="left" w:pos="1985"/>
          <w:tab w:val="left" w:pos="2340"/>
          <w:tab w:val="left" w:pos="2977"/>
        </w:tabs>
        <w:spacing w:line="360" w:lineRule="auto"/>
        <w:ind w:left="1701" w:firstLine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Для микроорганизмов экологическая стратегия зависит от способа питания бактерий: </w:t>
      </w:r>
      <w:proofErr w:type="spellStart"/>
      <w:r>
        <w:rPr>
          <w:sz w:val="28"/>
          <w:szCs w:val="28"/>
        </w:rPr>
        <w:t>олиготрофного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копиотрофного</w:t>
      </w:r>
      <w:proofErr w:type="spellEnd"/>
      <w:r>
        <w:rPr>
          <w:sz w:val="28"/>
          <w:szCs w:val="28"/>
        </w:rPr>
        <w:t>, гидролитического. По этим признакам классифицируют и местообитания организмов. По типу стратегии выделяют</w:t>
      </w:r>
      <w:r w:rsidR="00C2263E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 типы местообитаний.</w:t>
      </w:r>
    </w:p>
    <w:p w:rsidR="00524114" w:rsidRDefault="00524114">
      <w:pPr>
        <w:tabs>
          <w:tab w:val="left" w:pos="540"/>
          <w:tab w:val="left" w:pos="2127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Пессимальные</w:t>
      </w:r>
      <w:proofErr w:type="spellEnd"/>
      <w:r>
        <w:rPr>
          <w:sz w:val="28"/>
          <w:szCs w:val="28"/>
        </w:rPr>
        <w:t xml:space="preserve"> с неблагоприятными </w:t>
      </w:r>
      <w:proofErr w:type="spellStart"/>
      <w:r>
        <w:rPr>
          <w:sz w:val="28"/>
          <w:szCs w:val="28"/>
        </w:rPr>
        <w:t>экотопическими</w:t>
      </w:r>
      <w:proofErr w:type="spellEnd"/>
      <w:r>
        <w:rPr>
          <w:sz w:val="28"/>
          <w:szCs w:val="28"/>
        </w:rPr>
        <w:t xml:space="preserve"> условиями -</w:t>
      </w:r>
      <w:r w:rsidR="00C226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холодные, засоленные и другие местообитания, где обитают малочисленные </w:t>
      </w:r>
      <w:proofErr w:type="spellStart"/>
      <w:r>
        <w:rPr>
          <w:sz w:val="28"/>
          <w:szCs w:val="28"/>
        </w:rPr>
        <w:t>патиентные</w:t>
      </w:r>
      <w:proofErr w:type="spellEnd"/>
      <w:r>
        <w:rPr>
          <w:sz w:val="28"/>
          <w:szCs w:val="28"/>
        </w:rPr>
        <w:t xml:space="preserve"> популяции организмов, конкуренция между которыми отсутствует из-за малой численности, поэтому велик поток питательного вещества в клетку. Здесь наблюдается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-стратегия и могут присутствовать любые из 3 вышеперечисленных типов питания, так как выживаемость этих видов контролируют в основном абиотические факторы среды.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В жестких местообитаниях популяция находится в критическом, близком к </w:t>
      </w:r>
      <w:proofErr w:type="spellStart"/>
      <w:r>
        <w:rPr>
          <w:sz w:val="28"/>
          <w:szCs w:val="28"/>
        </w:rPr>
        <w:t>климаксному</w:t>
      </w:r>
      <w:proofErr w:type="spellEnd"/>
      <w:r>
        <w:rPr>
          <w:sz w:val="28"/>
          <w:szCs w:val="28"/>
        </w:rPr>
        <w:t xml:space="preserve"> состоянии и поток вещества в клетку происходит очень медленно, потому что концентрация конкурирующих клеток максимальна для данной популяции. В данном случае наблюдается жесткий К-отбор. 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первом случае бактериям приходится бороться с жесткими условиями среды, поэтому скорость их роста намного меньше, чем у организмов видов, живущих в более </w:t>
      </w:r>
      <w:proofErr w:type="spellStart"/>
      <w:r>
        <w:rPr>
          <w:sz w:val="28"/>
          <w:szCs w:val="28"/>
        </w:rPr>
        <w:t>мезофильных</w:t>
      </w:r>
      <w:proofErr w:type="spellEnd"/>
      <w:r>
        <w:rPr>
          <w:sz w:val="28"/>
          <w:szCs w:val="28"/>
        </w:rPr>
        <w:t xml:space="preserve"> условиях. Это, например, такие микроорганизмы как </w:t>
      </w:r>
      <w:proofErr w:type="spellStart"/>
      <w:r>
        <w:rPr>
          <w:sz w:val="28"/>
          <w:szCs w:val="28"/>
        </w:rPr>
        <w:t>артробактер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родококки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липомицеты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осмо</w:t>
      </w:r>
      <w:proofErr w:type="spellEnd"/>
      <w:r>
        <w:rPr>
          <w:sz w:val="28"/>
          <w:szCs w:val="28"/>
        </w:rPr>
        <w:t xml:space="preserve">- и </w:t>
      </w:r>
      <w:proofErr w:type="spellStart"/>
      <w:r>
        <w:rPr>
          <w:sz w:val="28"/>
          <w:szCs w:val="28"/>
        </w:rPr>
        <w:t>психро</w:t>
      </w:r>
      <w:proofErr w:type="spellEnd"/>
      <w:r>
        <w:rPr>
          <w:sz w:val="28"/>
          <w:szCs w:val="28"/>
        </w:rPr>
        <w:t xml:space="preserve">- толерантные, а также устойчивые к высушиванию.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>Организмы второй группы, также обитающие в жёстких условиях среды</w:t>
      </w:r>
      <w:r w:rsidR="00C2263E">
        <w:rPr>
          <w:sz w:val="28"/>
          <w:szCs w:val="28"/>
        </w:rPr>
        <w:t>,</w:t>
      </w:r>
      <w:r>
        <w:rPr>
          <w:sz w:val="28"/>
          <w:szCs w:val="28"/>
        </w:rPr>
        <w:t xml:space="preserve"> – типичные </w:t>
      </w:r>
      <w:proofErr w:type="spellStart"/>
      <w:r>
        <w:rPr>
          <w:sz w:val="28"/>
          <w:szCs w:val="28"/>
        </w:rPr>
        <w:t>виоленты</w:t>
      </w:r>
      <w:proofErr w:type="spellEnd"/>
      <w:r>
        <w:rPr>
          <w:sz w:val="28"/>
          <w:szCs w:val="28"/>
        </w:rPr>
        <w:t xml:space="preserve">. Они активно борются за захват среды, т.к. не подвергаются с ее стороны экстремальным воздействиям. Характерными представителями этой группы являются </w:t>
      </w:r>
      <w:proofErr w:type="spellStart"/>
      <w:r>
        <w:rPr>
          <w:sz w:val="28"/>
          <w:szCs w:val="28"/>
        </w:rPr>
        <w:t>простекобактерии</w:t>
      </w:r>
      <w:proofErr w:type="spellEnd"/>
      <w:r>
        <w:rPr>
          <w:sz w:val="28"/>
          <w:szCs w:val="28"/>
        </w:rPr>
        <w:t xml:space="preserve">. Входят в нее и бактерии из первой </w:t>
      </w:r>
      <w:r>
        <w:rPr>
          <w:sz w:val="28"/>
          <w:szCs w:val="28"/>
        </w:rPr>
        <w:lastRenderedPageBreak/>
        <w:t xml:space="preserve">группы, причем эти микроорганизмы являются одновременно и </w:t>
      </w:r>
      <w:proofErr w:type="spellStart"/>
      <w:r>
        <w:rPr>
          <w:sz w:val="28"/>
          <w:szCs w:val="28"/>
        </w:rPr>
        <w:t>виолентами</w:t>
      </w:r>
      <w:proofErr w:type="spellEnd"/>
      <w:r>
        <w:rPr>
          <w:sz w:val="28"/>
          <w:szCs w:val="28"/>
        </w:rPr>
        <w:t xml:space="preserve"> и стресс-</w:t>
      </w:r>
      <w:proofErr w:type="spellStart"/>
      <w:r>
        <w:rPr>
          <w:sz w:val="28"/>
          <w:szCs w:val="28"/>
        </w:rPr>
        <w:t>толерантами</w:t>
      </w:r>
      <w:proofErr w:type="spellEnd"/>
      <w:r>
        <w:rPr>
          <w:sz w:val="28"/>
          <w:szCs w:val="28"/>
        </w:rPr>
        <w:t xml:space="preserve">. В случае кратковременных изменений среды, например, появления в ней легкодоступных веществ, могут происходить вспышки численности </w:t>
      </w:r>
      <w:proofErr w:type="spellStart"/>
      <w:r>
        <w:rPr>
          <w:sz w:val="28"/>
          <w:szCs w:val="28"/>
        </w:rPr>
        <w:t>копиотрофных</w:t>
      </w:r>
      <w:proofErr w:type="spellEnd"/>
      <w:r>
        <w:rPr>
          <w:sz w:val="28"/>
          <w:szCs w:val="28"/>
        </w:rPr>
        <w:t xml:space="preserve"> бактерий с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-стратегией. Они быстро разлагают и поглощают легкодоступный субстрат, а после того, как он заканчивается, переходят в покоящиеся стадии. Примерами таких бактерий могут являться многие представители родов </w:t>
      </w:r>
      <w:r>
        <w:rPr>
          <w:i/>
          <w:sz w:val="28"/>
          <w:szCs w:val="28"/>
          <w:lang w:val="en-US"/>
        </w:rPr>
        <w:t>Bacillus</w:t>
      </w:r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Pseudomonas</w:t>
      </w:r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Proteus</w:t>
      </w:r>
      <w:r>
        <w:rPr>
          <w:sz w:val="28"/>
          <w:szCs w:val="28"/>
        </w:rPr>
        <w:t>.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1.3.1 Использование микроорганизмами труднодоступных и полимерных соединений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Использование недоступных для других бактерий, обуславливающих медленный рост популяции, веществ, предполагает ведение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-стратегии. Здесь мы видим еще один яркий пример ухода микроорганизмов: бацилл, </w:t>
      </w:r>
      <w:proofErr w:type="spellStart"/>
      <w:r>
        <w:rPr>
          <w:sz w:val="28"/>
          <w:szCs w:val="28"/>
        </w:rPr>
        <w:t>клостридий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стрептомицетов</w:t>
      </w:r>
      <w:proofErr w:type="spellEnd"/>
      <w:r>
        <w:rPr>
          <w:sz w:val="28"/>
          <w:szCs w:val="28"/>
        </w:rPr>
        <w:t xml:space="preserve"> и некоторых грибов от конкуренции (</w:t>
      </w:r>
      <w:proofErr w:type="spellStart"/>
      <w:r>
        <w:rPr>
          <w:sz w:val="28"/>
          <w:szCs w:val="28"/>
        </w:rPr>
        <w:t>Паников</w:t>
      </w:r>
      <w:proofErr w:type="spellEnd"/>
      <w:r>
        <w:rPr>
          <w:sz w:val="28"/>
          <w:szCs w:val="28"/>
        </w:rPr>
        <w:t>, 1992).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1.4 Количественные показатели состояния микробной системы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В начале восьмидесятых годов прошлого века большое внимание было обращено на связь экологии почвенных микроорганизмов и микробиологических процессов, протекающих в почве. Была осознана необходимость найти метод, который показывал бы закономерность между обилием микроорганизмов и процессами модификации среды. Для такого анализа необходимы сведения о состоянии и функционировании микробной системы. 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Показанную закономерность хорошо определяет количественный учет микроорганизмов. Большое внимание при </w:t>
      </w:r>
      <w:r>
        <w:rPr>
          <w:sz w:val="28"/>
          <w:szCs w:val="28"/>
        </w:rPr>
        <w:lastRenderedPageBreak/>
        <w:t>его применении отдается прямым методам (</w:t>
      </w:r>
      <w:proofErr w:type="spellStart"/>
      <w:r>
        <w:rPr>
          <w:sz w:val="28"/>
          <w:szCs w:val="28"/>
        </w:rPr>
        <w:t>микроскопирование</w:t>
      </w:r>
      <w:proofErr w:type="spellEnd"/>
      <w:r>
        <w:rPr>
          <w:sz w:val="28"/>
          <w:szCs w:val="28"/>
        </w:rPr>
        <w:t xml:space="preserve">, посев на чашки Петри). Микроскопия называется «общим» методом учета, т.к. подходит для большей части почвенных бактерий. Посев же – «частный» метод, поскольку состав среды индивидуален для различных таксономических и экологических групп бактерий. 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Количественная оценка популяции начинается с расчета обилия на чашках Петри. Однако здесь бывает велика ошибка, связанная с низкой точностью метода. Поэтому часто дополнительно проводят подсчет с помощью </w:t>
      </w:r>
      <w:proofErr w:type="spellStart"/>
      <w:r>
        <w:rPr>
          <w:sz w:val="28"/>
          <w:szCs w:val="28"/>
        </w:rPr>
        <w:t>люминисцентного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микроскопирования</w:t>
      </w:r>
      <w:proofErr w:type="spellEnd"/>
      <w:r>
        <w:rPr>
          <w:sz w:val="28"/>
          <w:szCs w:val="28"/>
        </w:rPr>
        <w:t xml:space="preserve">, который дает точность на 2-4 порядка выше. Однако стоит отметить, что точного соотношения по результатам этих двух методов не найдено, что мешает найти коэффициент пересчета из одного метода в другой.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По сравнению с методом </w:t>
      </w:r>
      <w:proofErr w:type="spellStart"/>
      <w:r>
        <w:rPr>
          <w:sz w:val="28"/>
          <w:szCs w:val="28"/>
        </w:rPr>
        <w:t>микроскопирования</w:t>
      </w:r>
      <w:proofErr w:type="spellEnd"/>
      <w:r>
        <w:rPr>
          <w:sz w:val="28"/>
          <w:szCs w:val="28"/>
        </w:rPr>
        <w:t xml:space="preserve"> метод посева позволяет выявить небольшие изменения в микробной биомассе между разными почвами. Последнее становится более заметно при пересчете обилия на единицу площади, например, на 1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Это позволяет отметить достоверное различие между показателями обилия из сравниваемых образцов.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>Удельный вес микроорганизмов обычно варьируется несильно и в большинстве случаев составляет 1,1-1,3 г/см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. Это позволяет во многих случаях принимать его за 1 при подсчетах и коэффициент пересчета считать за 50% обилия по сухому веществу. Однако в отличие от удельной массы объем клетки может варьироваться более чем на порядок (в зависимости от вида, культуры, условий окружающей среды и т.д.). Это вносит коррективы на коэффициент пересчета в сухое вещество: если принять средний объем микробной клетки в почве за 0,1 мкм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, то ее масса в природных </w:t>
      </w:r>
      <w:r>
        <w:rPr>
          <w:sz w:val="28"/>
          <w:szCs w:val="28"/>
        </w:rPr>
        <w:lastRenderedPageBreak/>
        <w:t>условиях будет составлять около 10</w:t>
      </w:r>
      <w:r>
        <w:rPr>
          <w:sz w:val="28"/>
          <w:szCs w:val="28"/>
          <w:vertAlign w:val="superscript"/>
        </w:rPr>
        <w:t>-13</w:t>
      </w:r>
      <w:r>
        <w:rPr>
          <w:sz w:val="28"/>
          <w:szCs w:val="28"/>
        </w:rPr>
        <w:t>г. В пересчете на сухое вещество это составит 2*10</w:t>
      </w:r>
      <w:r>
        <w:rPr>
          <w:sz w:val="28"/>
          <w:szCs w:val="28"/>
          <w:vertAlign w:val="superscript"/>
        </w:rPr>
        <w:t xml:space="preserve">-14 </w:t>
      </w:r>
      <w:r>
        <w:rPr>
          <w:sz w:val="28"/>
          <w:szCs w:val="28"/>
        </w:rPr>
        <w:t>г.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>Важным является вопрос о том, можно ли по показателям численности судить о состоянии микробной системы. Долгое время предпринимались попытки решить этот вопрос, исходя из продукции сообщества. Продукция – это суммарное количество вновь образованной за единицу времени биомассы, где учитываются в том числе организмы, отмершие на момент времени измерений. Однако в процессе эксперимента исследователи столкнулись с такой проблемой, как количественное определение смертности, рождаемости, зависимости от хищников и т.д. Это помешало определить продуктивность таким способом (Кожевин, 1989).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  <w:r>
        <w:rPr>
          <w:sz w:val="28"/>
          <w:szCs w:val="28"/>
        </w:rPr>
        <w:t>1.5</w:t>
      </w:r>
      <w:r w:rsidR="00C2263E">
        <w:rPr>
          <w:sz w:val="28"/>
          <w:szCs w:val="28"/>
        </w:rPr>
        <w:t xml:space="preserve"> </w:t>
      </w:r>
      <w:r>
        <w:rPr>
          <w:sz w:val="28"/>
          <w:szCs w:val="28"/>
        </w:rPr>
        <w:t>Ферментативная активность в пищевом тракте многоножек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Известно, что почвенные многоножки разлагают </w:t>
      </w:r>
      <w:proofErr w:type="spellStart"/>
      <w:r>
        <w:rPr>
          <w:sz w:val="28"/>
          <w:szCs w:val="28"/>
        </w:rPr>
        <w:t>олигосахара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целлобиозу</w:t>
      </w:r>
      <w:proofErr w:type="spellEnd"/>
      <w:r>
        <w:rPr>
          <w:sz w:val="28"/>
          <w:szCs w:val="28"/>
        </w:rPr>
        <w:t xml:space="preserve">, мальтозу, сахарозу, </w:t>
      </w:r>
      <w:proofErr w:type="spellStart"/>
      <w:r>
        <w:rPr>
          <w:sz w:val="28"/>
          <w:szCs w:val="28"/>
        </w:rPr>
        <w:t>трегалозу</w:t>
      </w:r>
      <w:proofErr w:type="spellEnd"/>
      <w:r>
        <w:rPr>
          <w:sz w:val="28"/>
          <w:szCs w:val="28"/>
        </w:rPr>
        <w:t xml:space="preserve">. Некоторые многоножки способны к разрушению клеточных стенок грибов, на что указывает </w:t>
      </w:r>
      <w:proofErr w:type="spellStart"/>
      <w:r>
        <w:rPr>
          <w:sz w:val="28"/>
          <w:szCs w:val="28"/>
        </w:rPr>
        <w:t>хитиназная</w:t>
      </w:r>
      <w:proofErr w:type="spellEnd"/>
      <w:r>
        <w:rPr>
          <w:sz w:val="28"/>
          <w:szCs w:val="28"/>
        </w:rPr>
        <w:t xml:space="preserve"> активность их кишечника. Однако нет точных данных о том, что такие животные как </w:t>
      </w:r>
      <w:proofErr w:type="spellStart"/>
      <w:r>
        <w:rPr>
          <w:sz w:val="28"/>
          <w:szCs w:val="28"/>
        </w:rPr>
        <w:t>диплоподы</w:t>
      </w:r>
      <w:proofErr w:type="spellEnd"/>
      <w:r>
        <w:rPr>
          <w:sz w:val="28"/>
          <w:szCs w:val="28"/>
        </w:rPr>
        <w:t xml:space="preserve"> способны разлагать полисахариды (целлюлозу, лигнин и др.) непосредственно с помощью собственных ферментов. Тот факт,</w:t>
      </w:r>
      <w:r w:rsidR="00C226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многоножки все-таки способны к перевариванию труднодоступных компонентов </w:t>
      </w:r>
      <w:proofErr w:type="spellStart"/>
      <w:r>
        <w:rPr>
          <w:sz w:val="28"/>
          <w:szCs w:val="28"/>
        </w:rPr>
        <w:t>опада</w:t>
      </w:r>
      <w:proofErr w:type="spellEnd"/>
      <w:r>
        <w:rPr>
          <w:sz w:val="28"/>
          <w:szCs w:val="28"/>
        </w:rPr>
        <w:t xml:space="preserve">, говорит о том, что, вполне вероятно, эту роль играют симбиотические микроорганизмы их кишечной жидкости.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Кишечник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 является очень благоприятной средой для развития симбиотических микроорганизмов: эта среда обитания имеет постоянную влажность, кислотность и окислительно-</w:t>
      </w:r>
      <w:r>
        <w:rPr>
          <w:sz w:val="28"/>
          <w:szCs w:val="28"/>
        </w:rPr>
        <w:lastRenderedPageBreak/>
        <w:t xml:space="preserve">восстановительный потенциал, содержимое кишечника постоянно перемешивается, а значит, постоянно идет поступление новых питательных веществ.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Интересно, что очень высокая активность симбиотических микроорганизмов наблюдается при питании </w:t>
      </w:r>
      <w:proofErr w:type="spellStart"/>
      <w:r>
        <w:rPr>
          <w:sz w:val="28"/>
          <w:szCs w:val="28"/>
        </w:rPr>
        <w:t>кивсяка</w:t>
      </w:r>
      <w:proofErr w:type="spellEnd"/>
      <w:r>
        <w:rPr>
          <w:sz w:val="28"/>
          <w:szCs w:val="28"/>
        </w:rPr>
        <w:t xml:space="preserve"> стерильной целлюлозой (в лаборатории). Этот прием позволяет провести очистку кишечника (хоть и неполную) от инородных, попавших извне бактерий, поскольку далеко не все из них способны к переработке этого полимера. Еще одним доказательством благоприятности кишечной жидкости для развития бактерий является то, что микробиологическая активность в свежих экскрементах многоножек выше, чем в их корме.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>Микроорганизмы заселяют не только поверхность содержимого кишечника, но и пристеночное местообитание, где потребляют кроме корма многоножки отмирающие клетки ее кишечника.</w:t>
      </w:r>
    </w:p>
    <w:p w:rsidR="00524114" w:rsidRDefault="00524114" w:rsidP="00BA2812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263E">
        <w:rPr>
          <w:sz w:val="28"/>
          <w:szCs w:val="28"/>
        </w:rPr>
        <w:t xml:space="preserve">       </w:t>
      </w:r>
      <w:r>
        <w:rPr>
          <w:sz w:val="28"/>
          <w:szCs w:val="28"/>
        </w:rPr>
        <w:t>Встречаются в кишечнике многоножек и актиномицеты, тяготеющие к заднему отделу кишечника. Они также способны заселять как содержимое просвета кишечника, так и поверхность его стенки. Считается, что в кишечнике многоножек размеры клеток должны быть меньше в силу их высокой метаболической активности, которая является следствием хорошего роста на богатой питательной среде. Это дает возможность предположить, что кишечное сообщество отличается от почвенного более высокой метаболической активностью (</w:t>
      </w:r>
      <w:proofErr w:type="spellStart"/>
      <w:r>
        <w:rPr>
          <w:sz w:val="28"/>
          <w:szCs w:val="28"/>
        </w:rPr>
        <w:t>Бызов</w:t>
      </w:r>
      <w:proofErr w:type="spellEnd"/>
      <w:r>
        <w:rPr>
          <w:sz w:val="28"/>
          <w:szCs w:val="28"/>
        </w:rPr>
        <w:t>, 2005).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tabs>
          <w:tab w:val="left" w:pos="2430"/>
          <w:tab w:val="center" w:pos="5227"/>
        </w:tabs>
        <w:spacing w:line="360" w:lineRule="auto"/>
        <w:ind w:left="1701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1.6 </w:t>
      </w:r>
      <w:r>
        <w:rPr>
          <w:sz w:val="28"/>
          <w:szCs w:val="28"/>
        </w:rPr>
        <w:tab/>
        <w:t xml:space="preserve">Микроорганизмы в кишечнике </w:t>
      </w:r>
      <w:proofErr w:type="spellStart"/>
      <w:r>
        <w:rPr>
          <w:sz w:val="28"/>
          <w:szCs w:val="28"/>
        </w:rPr>
        <w:t>диплопод</w:t>
      </w:r>
      <w:proofErr w:type="spellEnd"/>
    </w:p>
    <w:p w:rsidR="00524114" w:rsidRDefault="00524114">
      <w:pPr>
        <w:spacing w:line="360" w:lineRule="auto"/>
        <w:ind w:left="1701" w:firstLine="708"/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Показано, что кишечные бактерии помогают животному-хозяину разлагать полимеры, что не только способствует лучшему </w:t>
      </w:r>
      <w:r>
        <w:rPr>
          <w:sz w:val="28"/>
          <w:szCs w:val="28"/>
        </w:rPr>
        <w:lastRenderedPageBreak/>
        <w:t xml:space="preserve">усвоению пищи животным, но и минерализации почвенного органического вещества. </w:t>
      </w:r>
      <w:r>
        <w:rPr>
          <w:sz w:val="28"/>
          <w:szCs w:val="28"/>
          <w:shd w:val="clear" w:color="auto" w:fill="FFFFFF"/>
        </w:rPr>
        <w:t xml:space="preserve">Из 53 штаммов бактерий, выделенных из ЖКТ </w:t>
      </w:r>
      <w:proofErr w:type="spellStart"/>
      <w:r>
        <w:rPr>
          <w:i/>
          <w:sz w:val="28"/>
          <w:szCs w:val="28"/>
          <w:shd w:val="clear" w:color="auto" w:fill="FFFFFF"/>
        </w:rPr>
        <w:t>Xenobolus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carnifex</w:t>
      </w:r>
      <w:proofErr w:type="spellEnd"/>
      <w:r>
        <w:rPr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sz w:val="28"/>
          <w:szCs w:val="28"/>
          <w:shd w:val="clear" w:color="auto" w:fill="FFFFFF"/>
        </w:rPr>
        <w:t>диплоподы</w:t>
      </w:r>
      <w:proofErr w:type="spellEnd"/>
      <w:r>
        <w:rPr>
          <w:sz w:val="28"/>
          <w:szCs w:val="28"/>
          <w:shd w:val="clear" w:color="auto" w:fill="FFFFFF"/>
        </w:rPr>
        <w:t xml:space="preserve">, обитающей в Южной Индии и на Шри-Ланке) большинство способны продуцировать различные гидролитические ферменты, важные для переваривания растительной пищи: 48 штаммов были продуцентами </w:t>
      </w:r>
      <w:proofErr w:type="spellStart"/>
      <w:r>
        <w:rPr>
          <w:sz w:val="28"/>
          <w:szCs w:val="28"/>
          <w:shd w:val="clear" w:color="auto" w:fill="FFFFFF"/>
        </w:rPr>
        <w:t>целлюлаз</w:t>
      </w:r>
      <w:proofErr w:type="spellEnd"/>
      <w:r>
        <w:rPr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sz w:val="28"/>
          <w:szCs w:val="28"/>
          <w:shd w:val="clear" w:color="auto" w:fill="FFFFFF"/>
        </w:rPr>
        <w:t>ксиланаз</w:t>
      </w:r>
      <w:proofErr w:type="spellEnd"/>
      <w:r>
        <w:rPr>
          <w:sz w:val="28"/>
          <w:szCs w:val="28"/>
          <w:shd w:val="clear" w:color="auto" w:fill="FFFFFF"/>
        </w:rPr>
        <w:t>, 13 – амилаз,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4 – протеаз. </w:t>
      </w:r>
      <w:r>
        <w:rPr>
          <w:rStyle w:val="apple-converted-space"/>
          <w:sz w:val="28"/>
          <w:szCs w:val="28"/>
          <w:shd w:val="clear" w:color="auto" w:fill="FFFFFF"/>
        </w:rPr>
        <w:t>А т</w:t>
      </w:r>
      <w:r>
        <w:rPr>
          <w:sz w:val="28"/>
          <w:szCs w:val="28"/>
          <w:shd w:val="clear" w:color="auto" w:fill="FFFFFF"/>
        </w:rPr>
        <w:t xml:space="preserve">ри штамма </w:t>
      </w:r>
      <w:proofErr w:type="spellStart"/>
      <w:r>
        <w:rPr>
          <w:i/>
          <w:sz w:val="28"/>
          <w:szCs w:val="28"/>
          <w:shd w:val="clear" w:color="auto" w:fill="FFFFFF"/>
        </w:rPr>
        <w:t>Proteus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mirabilis</w:t>
      </w:r>
      <w:proofErr w:type="spellEnd"/>
      <w:r>
        <w:rPr>
          <w:sz w:val="28"/>
          <w:szCs w:val="28"/>
          <w:shd w:val="clear" w:color="auto" w:fill="FFFFFF"/>
        </w:rPr>
        <w:t xml:space="preserve"> и два штамма </w:t>
      </w:r>
      <w:proofErr w:type="spellStart"/>
      <w:r>
        <w:rPr>
          <w:i/>
          <w:sz w:val="28"/>
          <w:szCs w:val="28"/>
          <w:shd w:val="clear" w:color="auto" w:fill="FFFFFF"/>
        </w:rPr>
        <w:t>Citrobacter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freundii</w:t>
      </w:r>
      <w:proofErr w:type="spellEnd"/>
      <w:r>
        <w:rPr>
          <w:sz w:val="28"/>
          <w:szCs w:val="28"/>
          <w:shd w:val="clear" w:color="auto" w:fill="FFFFFF"/>
        </w:rPr>
        <w:t xml:space="preserve"> продуцировали все четыре фермента (</w:t>
      </w:r>
      <w:proofErr w:type="spellStart"/>
      <w:r>
        <w:rPr>
          <w:sz w:val="28"/>
          <w:szCs w:val="28"/>
          <w:shd w:val="clear" w:color="auto" w:fill="FFFFFF"/>
          <w:lang w:val="en-US"/>
        </w:rPr>
        <w:t>Alagesan</w:t>
      </w:r>
      <w:proofErr w:type="spellEnd"/>
      <w:r w:rsidRPr="00AF219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et</w:t>
      </w:r>
      <w:r w:rsidRPr="008F1CA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al</w:t>
      </w:r>
      <w:r w:rsidRPr="008F1CAF">
        <w:rPr>
          <w:sz w:val="28"/>
          <w:szCs w:val="28"/>
          <w:shd w:val="clear" w:color="auto" w:fill="FFFFFF"/>
        </w:rPr>
        <w:t>.,</w:t>
      </w:r>
      <w:r>
        <w:rPr>
          <w:sz w:val="28"/>
          <w:szCs w:val="28"/>
          <w:shd w:val="clear" w:color="auto" w:fill="FFFFFF"/>
        </w:rPr>
        <w:t xml:space="preserve"> 2003).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t>В целом же</w:t>
      </w:r>
      <w:r>
        <w:rPr>
          <w:sz w:val="28"/>
          <w:szCs w:val="28"/>
          <w:shd w:val="clear" w:color="auto" w:fill="FFFFFF"/>
        </w:rPr>
        <w:t xml:space="preserve"> в бактериальном комплексе </w:t>
      </w:r>
      <w:proofErr w:type="spellStart"/>
      <w:r>
        <w:rPr>
          <w:sz w:val="28"/>
          <w:szCs w:val="28"/>
          <w:shd w:val="clear" w:color="auto" w:fill="FFFFFF"/>
        </w:rPr>
        <w:t>диплопод</w:t>
      </w:r>
      <w:proofErr w:type="spellEnd"/>
      <w:r>
        <w:rPr>
          <w:sz w:val="28"/>
          <w:szCs w:val="28"/>
          <w:shd w:val="clear" w:color="auto" w:fill="FFFFFF"/>
        </w:rPr>
        <w:t xml:space="preserve"> преобладают те же группы бактерий, что и у других почвенных животных, например, таких как термиты или жуки. У </w:t>
      </w:r>
      <w:r w:rsidR="00BA2812">
        <w:rPr>
          <w:sz w:val="28"/>
          <w:szCs w:val="28"/>
          <w:shd w:val="clear" w:color="auto" w:fill="FFFFFF"/>
        </w:rPr>
        <w:t>многоножки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Cylindroiulus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fulviceps</w:t>
      </w:r>
      <w:proofErr w:type="spellEnd"/>
      <w:r>
        <w:rPr>
          <w:sz w:val="28"/>
          <w:szCs w:val="28"/>
          <w:shd w:val="clear" w:color="auto" w:fill="FFFFFF"/>
        </w:rPr>
        <w:t xml:space="preserve"> в бактериальном комплексе ЖКТ преобладают бактерии типа </w:t>
      </w:r>
      <w:r>
        <w:rPr>
          <w:i/>
          <w:iCs/>
          <w:sz w:val="28"/>
          <w:szCs w:val="28"/>
          <w:shd w:val="clear" w:color="auto" w:fill="FFFFFF"/>
          <w:lang w:val="en-US"/>
        </w:rPr>
        <w:t>Bacteroidetes</w:t>
      </w:r>
      <w:r>
        <w:rPr>
          <w:sz w:val="28"/>
          <w:szCs w:val="28"/>
          <w:shd w:val="clear" w:color="auto" w:fill="FFFFFF"/>
        </w:rPr>
        <w:t xml:space="preserve"> (37% от общего числа видов), </w:t>
      </w:r>
      <w:r>
        <w:rPr>
          <w:i/>
          <w:iCs/>
          <w:sz w:val="28"/>
          <w:szCs w:val="28"/>
          <w:shd w:val="clear" w:color="auto" w:fill="FFFFFF"/>
          <w:lang w:val="en-US"/>
        </w:rPr>
        <w:t>Proteobacteria</w:t>
      </w:r>
      <w:r>
        <w:rPr>
          <w:i/>
          <w:i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(35%). Так же встречались представители филума </w:t>
      </w:r>
      <w:r>
        <w:rPr>
          <w:i/>
          <w:iCs/>
          <w:sz w:val="28"/>
          <w:szCs w:val="28"/>
          <w:shd w:val="clear" w:color="auto" w:fill="FFFFFF"/>
          <w:lang w:val="en-US"/>
        </w:rPr>
        <w:t>Firmicutes</w:t>
      </w:r>
      <w:r>
        <w:rPr>
          <w:sz w:val="28"/>
          <w:szCs w:val="28"/>
          <w:shd w:val="clear" w:color="auto" w:fill="FFFFFF"/>
        </w:rPr>
        <w:t xml:space="preserve"> из группы строго анаэробных бактерий – порядок </w:t>
      </w:r>
      <w:proofErr w:type="spellStart"/>
      <w:r>
        <w:rPr>
          <w:i/>
          <w:iCs/>
          <w:sz w:val="28"/>
          <w:szCs w:val="28"/>
          <w:shd w:val="clear" w:color="auto" w:fill="FFFFFF"/>
        </w:rPr>
        <w:t>Сlostridiales</w:t>
      </w:r>
      <w:proofErr w:type="spellEnd"/>
      <w:r>
        <w:rPr>
          <w:sz w:val="28"/>
          <w:szCs w:val="28"/>
          <w:shd w:val="clear" w:color="auto" w:fill="FFFFFF"/>
        </w:rPr>
        <w:t xml:space="preserve">, и факультативно-анаэробные бактерии из порядка </w:t>
      </w:r>
      <w:proofErr w:type="spellStart"/>
      <w:r>
        <w:rPr>
          <w:i/>
          <w:sz w:val="28"/>
          <w:szCs w:val="28"/>
          <w:shd w:val="clear" w:color="auto" w:fill="FFFFFF"/>
        </w:rPr>
        <w:t>Bacillales</w:t>
      </w:r>
      <w:proofErr w:type="spellEnd"/>
      <w:r w:rsidR="00163B1F">
        <w:rPr>
          <w:i/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способствующие разложению растительных остатков в ЖКТ. Встречались представители типа </w:t>
      </w:r>
      <w:r>
        <w:rPr>
          <w:i/>
          <w:iCs/>
          <w:sz w:val="28"/>
          <w:szCs w:val="28"/>
          <w:shd w:val="clear" w:color="auto" w:fill="FFFFFF"/>
          <w:lang w:val="en-US"/>
        </w:rPr>
        <w:t>Actinobacteria</w:t>
      </w:r>
      <w:r>
        <w:rPr>
          <w:sz w:val="28"/>
          <w:szCs w:val="28"/>
          <w:shd w:val="clear" w:color="auto" w:fill="FFFFFF"/>
        </w:rPr>
        <w:t xml:space="preserve">. Среди </w:t>
      </w:r>
      <w:proofErr w:type="spellStart"/>
      <w:r>
        <w:rPr>
          <w:sz w:val="28"/>
          <w:szCs w:val="28"/>
          <w:shd w:val="clear" w:color="auto" w:fill="FFFFFF"/>
        </w:rPr>
        <w:t>протеобактерий</w:t>
      </w:r>
      <w:proofErr w:type="spellEnd"/>
      <w:r>
        <w:rPr>
          <w:sz w:val="28"/>
          <w:szCs w:val="28"/>
          <w:shd w:val="clear" w:color="auto" w:fill="FFFFFF"/>
        </w:rPr>
        <w:t xml:space="preserve"> преобладают сульфат- и </w:t>
      </w:r>
      <w:proofErr w:type="spellStart"/>
      <w:r>
        <w:rPr>
          <w:sz w:val="28"/>
          <w:szCs w:val="28"/>
          <w:shd w:val="clear" w:color="auto" w:fill="FFFFFF"/>
        </w:rPr>
        <w:t>сероредуцирующие</w:t>
      </w:r>
      <w:proofErr w:type="spellEnd"/>
      <w:r>
        <w:rPr>
          <w:sz w:val="28"/>
          <w:szCs w:val="28"/>
          <w:shd w:val="clear" w:color="auto" w:fill="FFFFFF"/>
        </w:rPr>
        <w:t xml:space="preserve"> бактерии и микроорганизмы из группы кишечной палочки (</w:t>
      </w:r>
      <w:r>
        <w:rPr>
          <w:sz w:val="28"/>
          <w:szCs w:val="28"/>
          <w:shd w:val="clear" w:color="auto" w:fill="FFFFFF"/>
          <w:lang w:val="en-US"/>
        </w:rPr>
        <w:t>Knapp</w:t>
      </w:r>
      <w:r w:rsidRPr="008F1CA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et</w:t>
      </w:r>
      <w:r w:rsidRPr="008F1CA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al</w:t>
      </w:r>
      <w:r w:rsidRPr="008F1CAF">
        <w:rPr>
          <w:sz w:val="28"/>
          <w:szCs w:val="28"/>
          <w:shd w:val="clear" w:color="auto" w:fill="FFFFFF"/>
        </w:rPr>
        <w:t>.</w:t>
      </w:r>
      <w:r w:rsidRPr="00AF2194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2010). В целом кишечный бактериальный комплекс </w:t>
      </w:r>
      <w:proofErr w:type="spellStart"/>
      <w:r>
        <w:rPr>
          <w:sz w:val="28"/>
          <w:szCs w:val="28"/>
          <w:shd w:val="clear" w:color="auto" w:fill="FFFFFF"/>
        </w:rPr>
        <w:t>диплопод</w:t>
      </w:r>
      <w:proofErr w:type="spellEnd"/>
      <w:r>
        <w:rPr>
          <w:sz w:val="28"/>
          <w:szCs w:val="28"/>
          <w:shd w:val="clear" w:color="auto" w:fill="FFFFFF"/>
        </w:rPr>
        <w:t xml:space="preserve"> можно разделить на две группы. Первая группа – транзитные микроорганизмы, поступающие в ЖКТ из корма,</w:t>
      </w:r>
      <w:r w:rsidR="00163B1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типичные почвенные виды из таких родов как </w:t>
      </w:r>
      <w:proofErr w:type="spellStart"/>
      <w:r>
        <w:rPr>
          <w:i/>
          <w:sz w:val="28"/>
          <w:szCs w:val="28"/>
          <w:shd w:val="clear" w:color="auto" w:fill="FFFFFF"/>
        </w:rPr>
        <w:t>Bacillus</w:t>
      </w:r>
      <w:proofErr w:type="spellEnd"/>
      <w:r>
        <w:rPr>
          <w:i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i/>
          <w:sz w:val="28"/>
          <w:szCs w:val="28"/>
          <w:shd w:val="clear" w:color="auto" w:fill="FFFFFF"/>
        </w:rPr>
        <w:t>Micrococcus</w:t>
      </w:r>
      <w:proofErr w:type="spellEnd"/>
      <w:r>
        <w:rPr>
          <w:i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i/>
          <w:sz w:val="28"/>
          <w:szCs w:val="28"/>
          <w:shd w:val="clear" w:color="auto" w:fill="FFFFFF"/>
        </w:rPr>
        <w:t>Clostridium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i/>
          <w:sz w:val="28"/>
          <w:szCs w:val="28"/>
          <w:shd w:val="clear" w:color="auto" w:fill="FFFFFF"/>
        </w:rPr>
        <w:t>Corynebacterium</w:t>
      </w:r>
      <w:proofErr w:type="spellEnd"/>
      <w:r>
        <w:rPr>
          <w:sz w:val="28"/>
          <w:szCs w:val="28"/>
          <w:shd w:val="clear" w:color="auto" w:fill="FFFFFF"/>
        </w:rPr>
        <w:t xml:space="preserve"> и т.д., населяющие содержимое ЖКТ. Другой компонент кишечного бактериального блока – типичные для различных позвоночных и беспозвоночных животных кишечные роды и виды бактерий, наибольшая доля которых встречается на поверхности стенок </w:t>
      </w:r>
      <w:r>
        <w:rPr>
          <w:sz w:val="28"/>
          <w:szCs w:val="28"/>
          <w:shd w:val="clear" w:color="auto" w:fill="FFFFFF"/>
        </w:rPr>
        <w:lastRenderedPageBreak/>
        <w:t>ЖКТ:</w:t>
      </w:r>
      <w:r w:rsidR="00163B1F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Alcaligenes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faecalis</w:t>
      </w:r>
      <w:proofErr w:type="spellEnd"/>
      <w:r>
        <w:rPr>
          <w:i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i/>
          <w:sz w:val="28"/>
          <w:szCs w:val="28"/>
          <w:shd w:val="clear" w:color="auto" w:fill="FFFFFF"/>
        </w:rPr>
        <w:t>Lactobacillus</w:t>
      </w:r>
      <w:proofErr w:type="spellEnd"/>
      <w:r>
        <w:rPr>
          <w:i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i/>
          <w:sz w:val="28"/>
          <w:szCs w:val="28"/>
          <w:shd w:val="clear" w:color="auto" w:fill="FFFFFF"/>
        </w:rPr>
        <w:t>Klebsiella</w:t>
      </w:r>
      <w:proofErr w:type="spellEnd"/>
      <w:r>
        <w:rPr>
          <w:sz w:val="28"/>
          <w:szCs w:val="28"/>
          <w:shd w:val="clear" w:color="auto" w:fill="FFFFFF"/>
        </w:rPr>
        <w:t>. Вторая группа генетически приспособлена к адгезии на поверхности кишечного эпителия с помощью специальных веществ (</w:t>
      </w:r>
      <w:proofErr w:type="spellStart"/>
      <w:r>
        <w:rPr>
          <w:sz w:val="28"/>
          <w:szCs w:val="28"/>
          <w:shd w:val="clear" w:color="auto" w:fill="FFFFFF"/>
        </w:rPr>
        <w:t>адгезинов</w:t>
      </w:r>
      <w:proofErr w:type="spellEnd"/>
      <w:r>
        <w:rPr>
          <w:sz w:val="28"/>
          <w:szCs w:val="28"/>
          <w:shd w:val="clear" w:color="auto" w:fill="FFFFFF"/>
        </w:rPr>
        <w:t xml:space="preserve">). Наличие кислорода в пристеночной части ЖКТ приводит к преобладанию факультативно-анаэробных бактерий и </w:t>
      </w:r>
      <w:proofErr w:type="spellStart"/>
      <w:r>
        <w:rPr>
          <w:sz w:val="28"/>
          <w:szCs w:val="28"/>
          <w:shd w:val="clear" w:color="auto" w:fill="FFFFFF"/>
        </w:rPr>
        <w:t>микроаэробов</w:t>
      </w:r>
      <w:proofErr w:type="spellEnd"/>
      <w:r>
        <w:rPr>
          <w:sz w:val="28"/>
          <w:szCs w:val="28"/>
          <w:shd w:val="clear" w:color="auto" w:fill="FFFFFF"/>
        </w:rPr>
        <w:t xml:space="preserve">, в то время как в центральной части просвета заднего отдела формируются анаэробные условия. </w:t>
      </w:r>
    </w:p>
    <w:p w:rsidR="00524114" w:rsidRDefault="00524114">
      <w:pPr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разных работах указываются разные виды и роды кишечных бактерий</w:t>
      </w:r>
      <w:r w:rsidR="00163B1F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обнаруженные методом микробиологического посева у различных </w:t>
      </w:r>
      <w:proofErr w:type="spellStart"/>
      <w:r>
        <w:rPr>
          <w:sz w:val="28"/>
          <w:szCs w:val="28"/>
          <w:shd w:val="clear" w:color="auto" w:fill="FFFFFF"/>
        </w:rPr>
        <w:t>диплопод</w:t>
      </w:r>
      <w:proofErr w:type="spellEnd"/>
      <w:r>
        <w:rPr>
          <w:sz w:val="28"/>
          <w:szCs w:val="28"/>
          <w:shd w:val="clear" w:color="auto" w:fill="FFFFFF"/>
        </w:rPr>
        <w:t xml:space="preserve"> (</w:t>
      </w: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Anbarasan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en-US"/>
        </w:rPr>
        <w:t>Alagesan</w:t>
      </w:r>
      <w:proofErr w:type="spellEnd"/>
      <w:r>
        <w:rPr>
          <w:sz w:val="28"/>
          <w:szCs w:val="28"/>
        </w:rPr>
        <w:t>, 2017).</w:t>
      </w:r>
      <w:r w:rsidRPr="00AF2194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Однако единичные исследования многоножек не могут считаться достаточными для утверждения о существовании достоверных постоянных отличий в таксономическом составе кишечного сообщества между разными родами </w:t>
      </w:r>
      <w:proofErr w:type="spellStart"/>
      <w:r>
        <w:rPr>
          <w:sz w:val="28"/>
          <w:szCs w:val="28"/>
          <w:shd w:val="clear" w:color="auto" w:fill="FFFFFF"/>
        </w:rPr>
        <w:t>диплопод</w:t>
      </w:r>
      <w:proofErr w:type="spellEnd"/>
      <w:r>
        <w:rPr>
          <w:sz w:val="28"/>
          <w:szCs w:val="28"/>
          <w:shd w:val="clear" w:color="auto" w:fill="FFFFFF"/>
        </w:rPr>
        <w:t xml:space="preserve">. Индикатором анаэробных условий в ЖКТ </w:t>
      </w:r>
      <w:proofErr w:type="spellStart"/>
      <w:r>
        <w:rPr>
          <w:sz w:val="28"/>
          <w:szCs w:val="28"/>
          <w:shd w:val="clear" w:color="auto" w:fill="FFFFFF"/>
        </w:rPr>
        <w:t>диплопод</w:t>
      </w:r>
      <w:proofErr w:type="spellEnd"/>
      <w:r>
        <w:rPr>
          <w:sz w:val="28"/>
          <w:szCs w:val="28"/>
          <w:shd w:val="clear" w:color="auto" w:fill="FFFFFF"/>
        </w:rPr>
        <w:t xml:space="preserve"> является выделение метана </w:t>
      </w:r>
      <w:proofErr w:type="spellStart"/>
      <w:r>
        <w:rPr>
          <w:sz w:val="28"/>
          <w:szCs w:val="28"/>
          <w:shd w:val="clear" w:color="auto" w:fill="FFFFFF"/>
        </w:rPr>
        <w:t>метаногенными</w:t>
      </w:r>
      <w:proofErr w:type="spellEnd"/>
      <w:r>
        <w:rPr>
          <w:sz w:val="28"/>
          <w:szCs w:val="28"/>
          <w:shd w:val="clear" w:color="auto" w:fill="FFFFFF"/>
        </w:rPr>
        <w:t xml:space="preserve"> археями, среди которых</w:t>
      </w:r>
      <w:r w:rsidR="00163B1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большинство являются строгими анаэробами.</w:t>
      </w:r>
    </w:p>
    <w:p w:rsidR="00524114" w:rsidRDefault="00524114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Особый интерес представляет пространственное распределение микроорганизмов по ЖКТ. Считается, что передний отдел ответственен за уничтожение ненужных (в том числе и патогенных микроорганизмов). В среднем отделе идёт подавление активности микроорганизмов во избежание внесения ими помех в процесс переработки пищи, а в заднем отделе происходит окончательное разложение пищи с участием микроорганизмов. Поэтому чем больше по длине и объёму задн</w:t>
      </w:r>
      <w:r w:rsidR="00163B1F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й отдел и чем больше слепые выросты кишки, тем более среда заднего отдела благоприятна для кишечных микроорганизмов. На примере двух видов </w:t>
      </w:r>
      <w:proofErr w:type="spellStart"/>
      <w:r>
        <w:rPr>
          <w:sz w:val="28"/>
          <w:szCs w:val="28"/>
          <w:shd w:val="clear" w:color="auto" w:fill="FFFFFF"/>
        </w:rPr>
        <w:t>диплопод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Cylindroiulus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caeruleoc</w:t>
      </w:r>
      <w:proofErr w:type="spellEnd"/>
      <w:r>
        <w:rPr>
          <w:i/>
          <w:sz w:val="28"/>
          <w:szCs w:val="28"/>
          <w:shd w:val="clear" w:color="auto" w:fill="FFFFFF"/>
          <w:lang w:val="en-US"/>
        </w:rPr>
        <w:t>y</w:t>
      </w:r>
      <w:proofErr w:type="spellStart"/>
      <w:r>
        <w:rPr>
          <w:i/>
          <w:sz w:val="28"/>
          <w:szCs w:val="28"/>
          <w:shd w:val="clear" w:color="auto" w:fill="FFFFFF"/>
        </w:rPr>
        <w:t>nctus</w:t>
      </w:r>
      <w:proofErr w:type="spellEnd"/>
      <w:r>
        <w:rPr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i/>
          <w:sz w:val="28"/>
          <w:szCs w:val="28"/>
          <w:shd w:val="clear" w:color="auto" w:fill="FFFFFF"/>
        </w:rPr>
        <w:t>Cambala</w:t>
      </w:r>
      <w:proofErr w:type="spellEnd"/>
      <w:r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sz w:val="28"/>
          <w:szCs w:val="28"/>
          <w:shd w:val="clear" w:color="auto" w:fill="FFFFFF"/>
        </w:rPr>
        <w:t>speobia</w:t>
      </w:r>
      <w:proofErr w:type="spellEnd"/>
      <w:r>
        <w:rPr>
          <w:sz w:val="28"/>
          <w:szCs w:val="28"/>
          <w:shd w:val="clear" w:color="auto" w:fill="FFFFFF"/>
        </w:rPr>
        <w:t xml:space="preserve"> показано</w:t>
      </w:r>
      <w:r>
        <w:t xml:space="preserve">, </w:t>
      </w:r>
      <w:r>
        <w:rPr>
          <w:sz w:val="28"/>
          <w:szCs w:val="28"/>
        </w:rPr>
        <w:t>что</w:t>
      </w:r>
      <w:r w:rsidR="00163B1F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просвет кишечника по всей длине населён </w:t>
      </w:r>
      <w:r>
        <w:rPr>
          <w:sz w:val="28"/>
          <w:szCs w:val="28"/>
          <w:shd w:val="clear" w:color="auto" w:fill="FFFFFF"/>
        </w:rPr>
        <w:lastRenderedPageBreak/>
        <w:t xml:space="preserve">микроорганизмами, с наибольшей микробной плотностью в заднем отделе. Передняя треть задней кишки с ее характерной шестилучевой симметрией выстлана кутикулой, имеющей поляризованные чешуйки, а задняя треть выстлана гладкой кутикулой. Особые грибоподобные кишечные симбионты членистоногих – </w:t>
      </w:r>
      <w:proofErr w:type="spellStart"/>
      <w:r>
        <w:rPr>
          <w:sz w:val="28"/>
          <w:szCs w:val="28"/>
          <w:shd w:val="clear" w:color="auto" w:fill="FFFFFF"/>
        </w:rPr>
        <w:t>трихомицеты</w:t>
      </w:r>
      <w:proofErr w:type="spellEnd"/>
      <w:r>
        <w:rPr>
          <w:sz w:val="28"/>
          <w:szCs w:val="28"/>
          <w:shd w:val="clear" w:color="auto" w:fill="FFFFFF"/>
        </w:rPr>
        <w:t xml:space="preserve"> обитают только в передней трети задней кишки, в то время как </w:t>
      </w:r>
      <w:proofErr w:type="spellStart"/>
      <w:r>
        <w:rPr>
          <w:sz w:val="28"/>
          <w:szCs w:val="28"/>
          <w:shd w:val="clear" w:color="auto" w:fill="FFFFFF"/>
        </w:rPr>
        <w:t>микроколонии</w:t>
      </w:r>
      <w:proofErr w:type="spellEnd"/>
      <w:r>
        <w:rPr>
          <w:sz w:val="28"/>
          <w:szCs w:val="28"/>
          <w:shd w:val="clear" w:color="auto" w:fill="FFFFFF"/>
        </w:rPr>
        <w:t xml:space="preserve"> нитчатых и обычных одноклеточных бактери</w:t>
      </w:r>
      <w:r w:rsidR="00163B1F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адгезируются</w:t>
      </w:r>
      <w:proofErr w:type="spellEnd"/>
      <w:r>
        <w:rPr>
          <w:sz w:val="28"/>
          <w:szCs w:val="28"/>
          <w:shd w:val="clear" w:color="auto" w:fill="FFFFFF"/>
        </w:rPr>
        <w:t xml:space="preserve"> в задней трети заднего отдела кишечника. Наибольшая плотность микроорганизмов достигается в центральной области задней кишки. На поверхности кутикулы в этой области равномерно распределены углубления, отмечающие возможные каналы для обмена питательными веществами и водой между просветом задней кишки и клетками животного-хозяина. Пленки микробов прилипают к кутикуле, которая выстилает заднюю кишку, в то время как в передней и средней кишке микробы представлены в основном </w:t>
      </w:r>
      <w:proofErr w:type="spellStart"/>
      <w:r>
        <w:rPr>
          <w:sz w:val="28"/>
          <w:szCs w:val="28"/>
          <w:shd w:val="clear" w:color="auto" w:fill="FFFFFF"/>
        </w:rPr>
        <w:t>неадгезированными</w:t>
      </w:r>
      <w:proofErr w:type="spellEnd"/>
      <w:r>
        <w:rPr>
          <w:sz w:val="28"/>
          <w:szCs w:val="28"/>
          <w:shd w:val="clear" w:color="auto" w:fill="FFFFFF"/>
        </w:rPr>
        <w:t xml:space="preserve"> клетками (</w:t>
      </w:r>
      <w:proofErr w:type="spellStart"/>
      <w:r>
        <w:rPr>
          <w:sz w:val="28"/>
          <w:szCs w:val="28"/>
          <w:lang w:val="en-US"/>
        </w:rPr>
        <w:t>Nardi</w:t>
      </w:r>
      <w:proofErr w:type="spellEnd"/>
      <w:r w:rsidRPr="00AF219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</w:t>
      </w:r>
      <w:r w:rsidRPr="00AF219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 w:rsidRPr="00AF2194">
        <w:rPr>
          <w:sz w:val="28"/>
          <w:szCs w:val="28"/>
        </w:rPr>
        <w:t>.,</w:t>
      </w:r>
      <w:r>
        <w:rPr>
          <w:sz w:val="28"/>
          <w:szCs w:val="28"/>
          <w:shd w:val="clear" w:color="auto" w:fill="FFFFFF"/>
        </w:rPr>
        <w:t xml:space="preserve"> 2016). </w:t>
      </w: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163B1F" w:rsidRDefault="00163B1F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  <w:shd w:val="clear" w:color="auto" w:fill="FFFFFF"/>
        </w:rPr>
      </w:pPr>
    </w:p>
    <w:p w:rsidR="00524114" w:rsidRDefault="00524114">
      <w:pPr>
        <w:autoSpaceDE w:val="0"/>
        <w:autoSpaceDN w:val="0"/>
        <w:adjustRightInd w:val="0"/>
        <w:spacing w:line="360" w:lineRule="auto"/>
        <w:ind w:left="1701" w:firstLine="708"/>
        <w:jc w:val="both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195"/>
          <w:tab w:val="left" w:pos="3402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</w:p>
    <w:p w:rsidR="00524114" w:rsidRDefault="00524114">
      <w:pPr>
        <w:tabs>
          <w:tab w:val="left" w:pos="3402"/>
          <w:tab w:val="left" w:pos="3828"/>
          <w:tab w:val="left" w:pos="3969"/>
          <w:tab w:val="left" w:pos="4536"/>
          <w:tab w:val="center" w:pos="7655"/>
        </w:tabs>
        <w:spacing w:line="360" w:lineRule="auto"/>
        <w:ind w:left="6237" w:hanging="5245"/>
        <w:jc w:val="center"/>
        <w:rPr>
          <w:sz w:val="28"/>
          <w:szCs w:val="28"/>
        </w:rPr>
      </w:pPr>
      <w:r>
        <w:rPr>
          <w:sz w:val="28"/>
          <w:szCs w:val="28"/>
        </w:rPr>
        <w:t>2. Экспериментальная часть</w:t>
      </w:r>
    </w:p>
    <w:p w:rsidR="00524114" w:rsidRDefault="00524114">
      <w:pPr>
        <w:tabs>
          <w:tab w:val="left" w:pos="540"/>
          <w:tab w:val="left" w:pos="2694"/>
          <w:tab w:val="left" w:pos="3402"/>
          <w:tab w:val="left" w:pos="5954"/>
        </w:tabs>
        <w:spacing w:line="360" w:lineRule="auto"/>
        <w:ind w:left="6237" w:hanging="5245"/>
        <w:jc w:val="center"/>
        <w:rPr>
          <w:sz w:val="28"/>
          <w:szCs w:val="28"/>
        </w:rPr>
      </w:pPr>
      <w:r>
        <w:rPr>
          <w:sz w:val="28"/>
          <w:szCs w:val="28"/>
        </w:rPr>
        <w:t>2.1 Объект исследования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 w:firstLine="85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Объектом данного исследования был выбран </w:t>
      </w:r>
      <w:proofErr w:type="spellStart"/>
      <w:r>
        <w:rPr>
          <w:i/>
          <w:iCs/>
          <w:sz w:val="28"/>
          <w:szCs w:val="28"/>
          <w:lang w:val="en-US"/>
        </w:rPr>
        <w:t>Cylidroiulus</w:t>
      </w:r>
      <w:proofErr w:type="spellEnd"/>
      <w:r w:rsidRPr="00AF2194"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  <w:lang w:val="en-US"/>
        </w:rPr>
        <w:t>caeruleocynctus</w:t>
      </w:r>
      <w:proofErr w:type="spellEnd"/>
      <w:r>
        <w:rPr>
          <w:sz w:val="28"/>
          <w:szCs w:val="28"/>
        </w:rPr>
        <w:t xml:space="preserve">. Это беспозвоночное относится к </w:t>
      </w:r>
      <w:proofErr w:type="spellStart"/>
      <w:r>
        <w:rPr>
          <w:sz w:val="28"/>
          <w:szCs w:val="28"/>
        </w:rPr>
        <w:t>двупарноногим</w:t>
      </w:r>
      <w:proofErr w:type="spellEnd"/>
      <w:r>
        <w:rPr>
          <w:sz w:val="28"/>
          <w:szCs w:val="28"/>
        </w:rPr>
        <w:t xml:space="preserve"> многоножкам семейства настоящих кивсяков (</w:t>
      </w:r>
      <w:proofErr w:type="spellStart"/>
      <w:r>
        <w:rPr>
          <w:i/>
          <w:iCs/>
          <w:sz w:val="28"/>
          <w:szCs w:val="28"/>
          <w:lang w:val="en-US"/>
        </w:rPr>
        <w:t>Julidae</w:t>
      </w:r>
      <w:proofErr w:type="spellEnd"/>
      <w:r>
        <w:rPr>
          <w:sz w:val="28"/>
          <w:szCs w:val="28"/>
        </w:rPr>
        <w:t xml:space="preserve">) и является многочисленным подстилочным синантропным полифагом, что делает этих животных показательным модельным видом для городских экосистем. </w:t>
      </w:r>
      <w:r>
        <w:rPr>
          <w:i/>
          <w:iCs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  <w:lang w:val="en-US"/>
        </w:rPr>
        <w:t>caeruleocynctus</w:t>
      </w:r>
      <w:proofErr w:type="spellEnd"/>
      <w:r>
        <w:rPr>
          <w:sz w:val="28"/>
          <w:szCs w:val="28"/>
        </w:rPr>
        <w:t xml:space="preserve"> отбирались на Воробьевых горах в осенний период и до вскрытия содержались в почвенных микрокосмах в лаборатории на листовом </w:t>
      </w:r>
      <w:proofErr w:type="spellStart"/>
      <w:r>
        <w:rPr>
          <w:sz w:val="28"/>
          <w:szCs w:val="28"/>
        </w:rPr>
        <w:t>опаде</w:t>
      </w:r>
      <w:proofErr w:type="spellEnd"/>
      <w:r>
        <w:rPr>
          <w:sz w:val="28"/>
          <w:szCs w:val="28"/>
        </w:rPr>
        <w:t xml:space="preserve"> клена остролистного</w:t>
      </w:r>
      <w:r w:rsidRPr="00AF21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вяза гладкого. 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pStyle w:val="ad"/>
        <w:tabs>
          <w:tab w:val="left" w:pos="0"/>
        </w:tabs>
        <w:spacing w:line="360" w:lineRule="auto"/>
        <w:ind w:left="1701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2.2 Метод микробиологического исследования</w:t>
      </w:r>
    </w:p>
    <w:p w:rsidR="00524114" w:rsidRDefault="00163B1F" w:rsidP="00163B1F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24114">
        <w:rPr>
          <w:sz w:val="28"/>
          <w:szCs w:val="28"/>
        </w:rPr>
        <w:t xml:space="preserve">Бактериальное сообщество исследовалось комплексным структурно-функциональным методом (Якушев, 2015). Метод основан на анализе кинетических параметров сукцессионных изменений, возникающих в инициированных гидролитических сообществах в микрокосмах после внесения суспензии исследуемого природного сообщества в набор селективных жидких питательных сред.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3B1F">
        <w:rPr>
          <w:sz w:val="28"/>
          <w:szCs w:val="28"/>
        </w:rPr>
        <w:t xml:space="preserve">        С другой стороны,</w:t>
      </w:r>
      <w:r>
        <w:rPr>
          <w:sz w:val="28"/>
          <w:szCs w:val="28"/>
        </w:rPr>
        <w:t xml:space="preserve"> эти инициированные сообщества являются смешанной периодической культурой, которую можно описать </w:t>
      </w:r>
      <w:r>
        <w:rPr>
          <w:sz w:val="28"/>
          <w:szCs w:val="28"/>
        </w:rPr>
        <w:lastRenderedPageBreak/>
        <w:t>классическими кинетическим параметрами:</w:t>
      </w:r>
      <w:r w:rsidR="00163B1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μ</w:t>
      </w:r>
      <w:r>
        <w:rPr>
          <w:i/>
          <w:iCs/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  <w:lang w:val="en-US"/>
        </w:rPr>
        <w:t>λ</w:t>
      </w:r>
      <w:r>
        <w:rPr>
          <w:sz w:val="28"/>
          <w:szCs w:val="28"/>
        </w:rPr>
        <w:t>и т.д. На основании этих кинетических параметров выводятся интегральные показатели, которые позволяют разделить между собой исследуемые сообщества. Поскольку эти параметры разделяют природные (материнские по сравнению с инициированными нами в микрокосмах) сообщества, они имеют биологический смысл, который определяется из взаиморасположения природных микробных сообществ в пространстве интегральных показателей.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3B1F">
        <w:rPr>
          <w:sz w:val="28"/>
          <w:szCs w:val="28"/>
        </w:rPr>
        <w:t xml:space="preserve">         </w:t>
      </w:r>
      <w:r>
        <w:rPr>
          <w:sz w:val="28"/>
          <w:szCs w:val="28"/>
        </w:rPr>
        <w:t>Техническая реализация метода</w:t>
      </w:r>
      <w:r w:rsidR="005116B5">
        <w:rPr>
          <w:sz w:val="28"/>
          <w:szCs w:val="28"/>
        </w:rPr>
        <w:t xml:space="preserve"> проводилась следующим образом</w:t>
      </w:r>
      <w:r>
        <w:rPr>
          <w:sz w:val="28"/>
          <w:szCs w:val="28"/>
        </w:rPr>
        <w:t>. Микробная суспензия (1:10) исследуемого объекта получается встряхиванием на лабораторном приборе типа «</w:t>
      </w:r>
      <w:proofErr w:type="spellStart"/>
      <w:r>
        <w:rPr>
          <w:sz w:val="28"/>
          <w:szCs w:val="28"/>
        </w:rPr>
        <w:t>Вортэкс</w:t>
      </w:r>
      <w:proofErr w:type="spellEnd"/>
      <w:r>
        <w:rPr>
          <w:sz w:val="28"/>
          <w:szCs w:val="28"/>
        </w:rPr>
        <w:t>» в течение 20 мин при 2000 об/мин, с последующим центрифугированием при 3200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в течение 5 мин. </w:t>
      </w:r>
      <w:proofErr w:type="spellStart"/>
      <w:r>
        <w:rPr>
          <w:sz w:val="28"/>
          <w:szCs w:val="28"/>
        </w:rPr>
        <w:t>Надосадочная</w:t>
      </w:r>
      <w:proofErr w:type="spellEnd"/>
      <w:r>
        <w:rPr>
          <w:sz w:val="28"/>
          <w:szCs w:val="28"/>
        </w:rPr>
        <w:t xml:space="preserve"> жидкость раскапывается по 100 </w:t>
      </w:r>
      <w:proofErr w:type="spellStart"/>
      <w:r>
        <w:rPr>
          <w:sz w:val="28"/>
          <w:szCs w:val="28"/>
        </w:rPr>
        <w:t>мкл</w:t>
      </w:r>
      <w:proofErr w:type="spellEnd"/>
      <w:r>
        <w:rPr>
          <w:sz w:val="28"/>
          <w:szCs w:val="28"/>
        </w:rPr>
        <w:t xml:space="preserve"> в ячейки 96-луночных плоскодонных </w:t>
      </w:r>
      <w:proofErr w:type="spellStart"/>
      <w:r>
        <w:rPr>
          <w:sz w:val="28"/>
          <w:szCs w:val="28"/>
        </w:rPr>
        <w:t>культуральных</w:t>
      </w:r>
      <w:proofErr w:type="spellEnd"/>
      <w:r>
        <w:rPr>
          <w:sz w:val="28"/>
          <w:szCs w:val="28"/>
        </w:rPr>
        <w:t xml:space="preserve"> планшет с крышками, в которые предварительно были внесены по 100 </w:t>
      </w:r>
      <w:proofErr w:type="spellStart"/>
      <w:r>
        <w:rPr>
          <w:sz w:val="28"/>
          <w:szCs w:val="28"/>
        </w:rPr>
        <w:t>мкл</w:t>
      </w:r>
      <w:proofErr w:type="spellEnd"/>
      <w:r>
        <w:rPr>
          <w:sz w:val="28"/>
          <w:szCs w:val="28"/>
        </w:rPr>
        <w:t xml:space="preserve"> питательных сред, содержащих минеральные соли среды Чапека и в качестве единственного источника углерода - биополимер животного, микробного или растительного происхождения (табл.2). </w: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center"/>
        <w:rPr>
          <w:i/>
          <w:sz w:val="16"/>
        </w:rPr>
      </w:pPr>
    </w:p>
    <w:p w:rsidR="00524114" w:rsidRDefault="00524114">
      <w:pPr>
        <w:tabs>
          <w:tab w:val="center" w:pos="5600"/>
        </w:tabs>
        <w:spacing w:line="360" w:lineRule="auto"/>
        <w:ind w:left="1701" w:hanging="170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2. - Полимеры, использованные в качестве единственного источника углерода в селективных жидких питательных средах</w:t>
      </w:r>
    </w:p>
    <w:tbl>
      <w:tblPr>
        <w:tblW w:w="9829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2"/>
        <w:gridCol w:w="1990"/>
        <w:gridCol w:w="1896"/>
        <w:gridCol w:w="1465"/>
        <w:gridCol w:w="2166"/>
      </w:tblGrid>
      <w:tr w:rsidR="00524114">
        <w:trPr>
          <w:trHeight w:val="510"/>
          <w:tblCellSpacing w:w="0" w:type="dxa"/>
        </w:trPr>
        <w:tc>
          <w:tcPr>
            <w:tcW w:w="2312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Полимер</w:t>
            </w:r>
          </w:p>
        </w:tc>
        <w:tc>
          <w:tcPr>
            <w:tcW w:w="1990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  <w:rPr>
                <w:bCs/>
              </w:rPr>
            </w:pPr>
            <w:r>
              <w:rPr>
                <w:bCs/>
              </w:rPr>
              <w:t>Химическая</w:t>
            </w:r>
          </w:p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характеристика</w:t>
            </w:r>
          </w:p>
        </w:tc>
        <w:tc>
          <w:tcPr>
            <w:tcW w:w="189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Происхождение</w:t>
            </w:r>
          </w:p>
        </w:tc>
        <w:tc>
          <w:tcPr>
            <w:tcW w:w="1465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Доступность для микробного разложения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Причина использования</w:t>
            </w:r>
          </w:p>
        </w:tc>
      </w:tr>
      <w:tr w:rsidR="00524114">
        <w:trPr>
          <w:trHeight w:val="240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Кератин порошковый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белок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Животное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Трудно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Труднодоступный белок</w:t>
            </w:r>
          </w:p>
        </w:tc>
      </w:tr>
      <w:tr w:rsidR="00524114">
        <w:trPr>
          <w:trHeight w:val="510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 xml:space="preserve">Хитин, порошок для приготовления </w:t>
            </w:r>
            <w:r>
              <w:rPr>
                <w:bCs/>
              </w:rPr>
              <w:lastRenderedPageBreak/>
              <w:t>коллоидного раствора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азотосодержащий</w:t>
            </w:r>
          </w:p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полисахарид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Животное и грибное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Трудно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 xml:space="preserve">Труднодоступный полисахарид, </w:t>
            </w:r>
            <w:r>
              <w:rPr>
                <w:bCs/>
              </w:rPr>
              <w:lastRenderedPageBreak/>
              <w:t>широко распространённый в природе</w:t>
            </w:r>
          </w:p>
        </w:tc>
      </w:tr>
      <w:tr w:rsidR="00524114">
        <w:trPr>
          <w:trHeight w:val="510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lastRenderedPageBreak/>
              <w:t>Целлюлоза порошковая (0.1-0.25 мкм)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Линейный полисахарид-</w:t>
            </w:r>
            <w:proofErr w:type="spellStart"/>
            <w:r>
              <w:rPr>
                <w:bCs/>
              </w:rPr>
              <w:t>гомоглюкан</w:t>
            </w:r>
            <w:proofErr w:type="spellEnd"/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Высшие растения и водоросли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Трудно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Наиболее распространенное органическое вещество растений в природе</w:t>
            </w:r>
          </w:p>
        </w:tc>
      </w:tr>
      <w:tr w:rsidR="00524114">
        <w:trPr>
          <w:trHeight w:val="375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proofErr w:type="spellStart"/>
            <w:r>
              <w:rPr>
                <w:bCs/>
              </w:rPr>
              <w:t>Агароза</w:t>
            </w:r>
            <w:proofErr w:type="spellEnd"/>
            <w:r>
              <w:rPr>
                <w:bCs/>
              </w:rPr>
              <w:t xml:space="preserve"> легкоплавкая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полисахарид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Красные водоросли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Трудно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Пример очень трудно разлагаемого полисахарида</w:t>
            </w:r>
          </w:p>
        </w:tc>
      </w:tr>
      <w:tr w:rsidR="00524114">
        <w:trPr>
          <w:trHeight w:val="495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Крахмал растворимый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полисахарид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Растения и зелёные водоросли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Самый распространённый запасной полисахарид растений</w:t>
            </w:r>
          </w:p>
        </w:tc>
      </w:tr>
      <w:tr w:rsidR="00524114">
        <w:trPr>
          <w:trHeight w:val="375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proofErr w:type="spellStart"/>
            <w:r>
              <w:rPr>
                <w:bCs/>
              </w:rPr>
              <w:t>Ксилан</w:t>
            </w:r>
            <w:proofErr w:type="spellEnd"/>
            <w:r>
              <w:rPr>
                <w:bCs/>
              </w:rPr>
              <w:t xml:space="preserve"> берёзовый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proofErr w:type="spellStart"/>
            <w:r>
              <w:rPr>
                <w:bCs/>
              </w:rPr>
              <w:t>Гомополисахарид</w:t>
            </w:r>
            <w:proofErr w:type="spellEnd"/>
            <w:r>
              <w:rPr>
                <w:bCs/>
              </w:rPr>
              <w:t xml:space="preserve"> ксилозы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Растения и водоросли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Самая распространённая  гемицеллюлоза</w:t>
            </w:r>
          </w:p>
        </w:tc>
      </w:tr>
      <w:tr w:rsidR="00524114">
        <w:trPr>
          <w:trHeight w:val="615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Инулин из цикория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Полисахарид-</w:t>
            </w:r>
            <w:proofErr w:type="spellStart"/>
            <w:r>
              <w:rPr>
                <w:bCs/>
              </w:rPr>
              <w:t>гомофруктан</w:t>
            </w:r>
            <w:proofErr w:type="spellEnd"/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Растительное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  <w:rPr>
                <w:bCs/>
              </w:rPr>
            </w:pPr>
            <w:r>
              <w:rPr>
                <w:bCs/>
              </w:rPr>
              <w:t xml:space="preserve">Запасной полисахарид сложноцветных, </w:t>
            </w:r>
            <w:proofErr w:type="spellStart"/>
            <w:r>
              <w:rPr>
                <w:bCs/>
              </w:rPr>
              <w:t>лобелиевых</w:t>
            </w:r>
            <w:proofErr w:type="spellEnd"/>
            <w:r>
              <w:rPr>
                <w:bCs/>
              </w:rPr>
              <w:t>, фиалковых, колокольчиковых</w:t>
            </w:r>
          </w:p>
        </w:tc>
      </w:tr>
      <w:tr w:rsidR="00524114">
        <w:trPr>
          <w:trHeight w:val="495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 xml:space="preserve">Декстран 500 </w:t>
            </w:r>
            <w:proofErr w:type="spellStart"/>
            <w:r>
              <w:rPr>
                <w:bCs/>
              </w:rPr>
              <w:t>хроматографический</w:t>
            </w:r>
            <w:proofErr w:type="spellEnd"/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Разветвлённый полисахарид глюкозы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Бактериальное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Компонент  бактериальных капсул</w:t>
            </w:r>
          </w:p>
        </w:tc>
      </w:tr>
      <w:tr w:rsidR="00524114">
        <w:trPr>
          <w:trHeight w:val="375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Пектин лимонный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Кислый полисахарид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Растения и водоросли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Широко распространенная гемицеллюлоза</w:t>
            </w:r>
          </w:p>
        </w:tc>
      </w:tr>
      <w:tr w:rsidR="00524114">
        <w:trPr>
          <w:trHeight w:val="615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lastRenderedPageBreak/>
              <w:t>Твин 20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 xml:space="preserve">ПАВ, сложный эфир </w:t>
            </w:r>
            <w:proofErr w:type="spellStart"/>
            <w:r>
              <w:rPr>
                <w:bCs/>
              </w:rPr>
              <w:t>лауриновой</w:t>
            </w:r>
            <w:proofErr w:type="spellEnd"/>
            <w:r>
              <w:rPr>
                <w:bCs/>
              </w:rPr>
              <w:t xml:space="preserve"> кислоты с сорбитом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proofErr w:type="spellStart"/>
            <w:r>
              <w:rPr>
                <w:bCs/>
              </w:rPr>
              <w:t>Искуственное</w:t>
            </w:r>
            <w:proofErr w:type="spellEnd"/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Растворимый в воде аналог жиров</w:t>
            </w:r>
          </w:p>
        </w:tc>
      </w:tr>
      <w:tr w:rsidR="00524114">
        <w:trPr>
          <w:trHeight w:val="240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 xml:space="preserve">Казеин по </w:t>
            </w:r>
            <w:proofErr w:type="spellStart"/>
            <w:r>
              <w:rPr>
                <w:bCs/>
              </w:rPr>
              <w:t>Гаммерстену</w:t>
            </w:r>
            <w:proofErr w:type="spellEnd"/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белок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Млекопитающие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Аналог легкодоступного белка</w:t>
            </w:r>
          </w:p>
        </w:tc>
      </w:tr>
      <w:tr w:rsidR="00524114">
        <w:trPr>
          <w:trHeight w:val="360"/>
          <w:tblCellSpacing w:w="0" w:type="dxa"/>
        </w:trPr>
        <w:tc>
          <w:tcPr>
            <w:tcW w:w="2312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ДНК</w:t>
            </w:r>
          </w:p>
        </w:tc>
        <w:tc>
          <w:tcPr>
            <w:tcW w:w="1990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нуклеиновая кислота</w:t>
            </w:r>
          </w:p>
        </w:tc>
        <w:tc>
          <w:tcPr>
            <w:tcW w:w="1896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Общее</w:t>
            </w:r>
          </w:p>
        </w:tc>
        <w:tc>
          <w:tcPr>
            <w:tcW w:w="1465" w:type="dxa"/>
            <w:vAlign w:val="center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142"/>
              <w:jc w:val="center"/>
            </w:pPr>
            <w:r>
              <w:rPr>
                <w:bCs/>
              </w:rPr>
              <w:t>Легко</w:t>
            </w:r>
          </w:p>
        </w:tc>
        <w:tc>
          <w:tcPr>
            <w:tcW w:w="2166" w:type="dxa"/>
          </w:tcPr>
          <w:p w:rsidR="00524114" w:rsidRDefault="00524114">
            <w:pPr>
              <w:tabs>
                <w:tab w:val="left" w:pos="540"/>
                <w:tab w:val="center" w:pos="5600"/>
              </w:tabs>
              <w:spacing w:line="360" w:lineRule="auto"/>
              <w:ind w:left="235"/>
              <w:jc w:val="center"/>
            </w:pPr>
            <w:r>
              <w:rPr>
                <w:bCs/>
              </w:rPr>
              <w:t>Один из основных биополимеров</w:t>
            </w:r>
          </w:p>
        </w:tc>
      </w:tr>
    </w:tbl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tabs>
          <w:tab w:val="left" w:pos="540"/>
          <w:tab w:val="left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подавления роста грибов в питательные среды добавляется </w:t>
      </w:r>
      <w:proofErr w:type="spellStart"/>
      <w:r>
        <w:rPr>
          <w:sz w:val="28"/>
          <w:szCs w:val="28"/>
        </w:rPr>
        <w:t>антигрибной</w:t>
      </w:r>
      <w:proofErr w:type="spellEnd"/>
      <w:r>
        <w:rPr>
          <w:sz w:val="28"/>
          <w:szCs w:val="28"/>
        </w:rPr>
        <w:t xml:space="preserve"> антибиотик </w:t>
      </w:r>
      <w:proofErr w:type="spellStart"/>
      <w:r>
        <w:rPr>
          <w:sz w:val="28"/>
          <w:szCs w:val="28"/>
        </w:rPr>
        <w:t>нистатин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циклогексемид</w:t>
      </w:r>
      <w:proofErr w:type="spellEnd"/>
      <w:r>
        <w:rPr>
          <w:sz w:val="28"/>
          <w:szCs w:val="28"/>
        </w:rPr>
        <w:t xml:space="preserve">. Рост инициированных гидролитических бактериальных сообществ (смешанных периодических культур) осуществляется при постоянной температуре 25°С с автоматическим </w:t>
      </w:r>
      <w:r w:rsidR="005116B5">
        <w:rPr>
          <w:sz w:val="28"/>
          <w:szCs w:val="28"/>
        </w:rPr>
        <w:t xml:space="preserve">измерением </w:t>
      </w:r>
      <w:r>
        <w:rPr>
          <w:sz w:val="28"/>
          <w:szCs w:val="28"/>
        </w:rPr>
        <w:t>роста бактерий каждые 30 минут по оптической плотности питательной среды на им</w:t>
      </w:r>
      <w:r w:rsidR="005116B5">
        <w:rPr>
          <w:sz w:val="28"/>
          <w:szCs w:val="28"/>
        </w:rPr>
        <w:t>м</w:t>
      </w:r>
      <w:r>
        <w:rPr>
          <w:sz w:val="28"/>
          <w:szCs w:val="28"/>
        </w:rPr>
        <w:t>уноферментном анализаторе «</w:t>
      </w:r>
      <w:r>
        <w:rPr>
          <w:sz w:val="28"/>
          <w:szCs w:val="28"/>
          <w:lang w:val="en-US"/>
        </w:rPr>
        <w:t>Sunrise</w:t>
      </w:r>
      <w:r>
        <w:rPr>
          <w:sz w:val="28"/>
          <w:szCs w:val="28"/>
        </w:rPr>
        <w:t>» (при длине свет</w:t>
      </w:r>
      <w:r w:rsidR="005116B5">
        <w:rPr>
          <w:sz w:val="28"/>
          <w:szCs w:val="28"/>
        </w:rPr>
        <w:t>о</w:t>
      </w:r>
      <w:r>
        <w:rPr>
          <w:sz w:val="28"/>
          <w:szCs w:val="28"/>
        </w:rPr>
        <w:t xml:space="preserve">пропускания 620 </w:t>
      </w:r>
      <w:proofErr w:type="spellStart"/>
      <w:r>
        <w:rPr>
          <w:sz w:val="28"/>
          <w:szCs w:val="28"/>
        </w:rPr>
        <w:t>нм</w:t>
      </w:r>
      <w:proofErr w:type="spellEnd"/>
      <w:r>
        <w:rPr>
          <w:sz w:val="28"/>
          <w:szCs w:val="28"/>
        </w:rPr>
        <w:t xml:space="preserve">). </w:t>
      </w:r>
    </w:p>
    <w:p w:rsidR="00524114" w:rsidRDefault="00524114">
      <w:pPr>
        <w:tabs>
          <w:tab w:val="left" w:pos="540"/>
          <w:tab w:val="center" w:pos="2268"/>
        </w:tabs>
        <w:spacing w:line="360" w:lineRule="auto"/>
        <w:ind w:left="1701"/>
        <w:jc w:val="both"/>
        <w:rPr>
          <w:i/>
          <w:sz w:val="16"/>
        </w:rPr>
      </w:pPr>
      <w:r>
        <w:rPr>
          <w:sz w:val="28"/>
          <w:szCs w:val="28"/>
        </w:rPr>
        <w:tab/>
      </w:r>
      <w:r w:rsidR="005116B5">
        <w:rPr>
          <w:sz w:val="28"/>
          <w:szCs w:val="28"/>
        </w:rPr>
        <w:t xml:space="preserve">         </w:t>
      </w:r>
      <w:r>
        <w:rPr>
          <w:sz w:val="28"/>
          <w:szCs w:val="28"/>
        </w:rPr>
        <w:t>Помимо прочего</w:t>
      </w:r>
      <w:r w:rsidR="005116B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используемый метод включает в себя микробиологический посев из жидких сред с инициированными сообществами на </w:t>
      </w:r>
      <w:proofErr w:type="spellStart"/>
      <w:r>
        <w:rPr>
          <w:sz w:val="28"/>
          <w:szCs w:val="28"/>
        </w:rPr>
        <w:t>агаризованную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глюкозо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пептонно</w:t>
      </w:r>
      <w:proofErr w:type="spellEnd"/>
      <w:r>
        <w:rPr>
          <w:sz w:val="28"/>
          <w:szCs w:val="28"/>
        </w:rPr>
        <w:t xml:space="preserve">-дрожжевую среду (состав: </w:t>
      </w:r>
      <w:proofErr w:type="spell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 xml:space="preserve"> – 15 г/л, глюкоза – 1г/л, пептон – 1 г/л, дрожжевой экстракт – 1г/л, </w:t>
      </w:r>
      <w:proofErr w:type="spellStart"/>
      <w:r>
        <w:rPr>
          <w:sz w:val="28"/>
          <w:szCs w:val="28"/>
        </w:rPr>
        <w:t>нистатин</w:t>
      </w:r>
      <w:proofErr w:type="spellEnd"/>
      <w:r>
        <w:rPr>
          <w:sz w:val="28"/>
          <w:szCs w:val="28"/>
        </w:rPr>
        <w:t xml:space="preserve"> – 2 таблетки/л; вносится после </w:t>
      </w:r>
      <w:proofErr w:type="spellStart"/>
      <w:r>
        <w:rPr>
          <w:sz w:val="28"/>
          <w:szCs w:val="28"/>
        </w:rPr>
        <w:t>автоклавирования</w:t>
      </w:r>
      <w:proofErr w:type="spellEnd"/>
      <w:r>
        <w:rPr>
          <w:sz w:val="28"/>
          <w:szCs w:val="28"/>
        </w:rPr>
        <w:t xml:space="preserve">). Посев на чашки Петри нужен для определения видового биоразнообразия инициированных сообществ. Выросшие на чашках Петри колонии микроорганизмов идентифицируются по </w:t>
      </w:r>
      <w:proofErr w:type="spellStart"/>
      <w:r>
        <w:rPr>
          <w:sz w:val="28"/>
          <w:szCs w:val="28"/>
        </w:rPr>
        <w:t>культурально</w:t>
      </w:r>
      <w:proofErr w:type="spellEnd"/>
      <w:r>
        <w:rPr>
          <w:sz w:val="28"/>
          <w:szCs w:val="28"/>
        </w:rPr>
        <w:t xml:space="preserve">-морфологическим признакам и при необходимости – по итогам проведения ПЦР. </w:t>
      </w:r>
    </w:p>
    <w:p w:rsidR="00524114" w:rsidRDefault="00524114">
      <w:pPr>
        <w:pStyle w:val="ad"/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i/>
          <w:sz w:val="18"/>
          <w:szCs w:val="28"/>
        </w:rPr>
        <w:tab/>
      </w:r>
      <w:r w:rsidR="005116B5">
        <w:rPr>
          <w:i/>
          <w:sz w:val="18"/>
          <w:szCs w:val="28"/>
        </w:rPr>
        <w:t xml:space="preserve">         </w:t>
      </w:r>
      <w:r>
        <w:rPr>
          <w:sz w:val="28"/>
          <w:szCs w:val="28"/>
        </w:rPr>
        <w:t xml:space="preserve">В результате получаются кривые роста и отмирания инициированных сообществ (см. приложение), которые </w:t>
      </w:r>
      <w:r>
        <w:rPr>
          <w:sz w:val="28"/>
          <w:szCs w:val="28"/>
        </w:rPr>
        <w:lastRenderedPageBreak/>
        <w:t>интерпретируются в рамках моделей роста периодической культуры микроорганизмов. На основании калибровочного графика зависимости оптической плотности суспензии от концентрации клеток был получен пересчётный коэффициент 2 *10⁹ перевода значений оптической плотности в концентрацию клеток.</w:t>
      </w:r>
    </w:p>
    <w:p w:rsidR="00524114" w:rsidRDefault="00524114">
      <w:pPr>
        <w:pStyle w:val="ad"/>
        <w:tabs>
          <w:tab w:val="left" w:pos="540"/>
          <w:tab w:val="left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Рассчитывается микробный экономический коэффициент инициированных гидролитических бактериальных сообществ по формуле </w:t>
      </w:r>
      <w:r w:rsidRPr="0044577A">
        <w:rPr>
          <w:position w:val="-30"/>
          <w:sz w:val="28"/>
          <w:szCs w:val="28"/>
        </w:rPr>
        <w:object w:dxaOrig="760" w:dyaOrig="680">
          <v:shape id="_x0000_i1041" type="#_x0000_t75" style="width:36pt;height:36pt" o:ole="">
            <v:imagedata r:id="rId40" o:title=""/>
          </v:shape>
          <o:OLEObject Type="Embed" ProgID="Equation.3" ShapeID="_x0000_i1041" DrawAspect="Content" ObjectID="_1619823402" r:id="rId41"/>
        </w:object>
      </w:r>
      <w:r>
        <w:rPr>
          <w:sz w:val="28"/>
          <w:szCs w:val="28"/>
        </w:rPr>
        <w:t xml:space="preserve">, где </w:t>
      </w:r>
      <w:proofErr w:type="spellStart"/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m</w:t>
      </w:r>
      <w:proofErr w:type="spellEnd"/>
      <w:r>
        <w:rPr>
          <w:sz w:val="28"/>
          <w:szCs w:val="28"/>
        </w:rPr>
        <w:t xml:space="preserve"> – максимальная концентрация клеток, достигаемая на питательной среде с полимерами,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– исходная концентрация полимеров в среде 2,5 г/л.</w:t>
      </w:r>
    </w:p>
    <w:p w:rsidR="00524114" w:rsidRDefault="00524114">
      <w:pPr>
        <w:pStyle w:val="ad"/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116B5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Максимальная удельная скорость роста инициированных сообществ рассчитывалась по участку экспоненциального роста посредством аппроксимации методом наименьших квадратов данных с помощью мальтузианского уравнения. Максимальный метаболический коэффициент рассчитывался по формуле </w:t>
      </w:r>
      <w:r w:rsidRPr="0044577A">
        <w:rPr>
          <w:position w:val="-10"/>
          <w:sz w:val="28"/>
          <w:szCs w:val="28"/>
        </w:rPr>
        <w:object w:dxaOrig="180" w:dyaOrig="340">
          <v:shape id="_x0000_i1042" type="#_x0000_t75" style="width:7.5pt;height:14.25pt" o:ole="">
            <v:imagedata r:id="rId42" o:title=""/>
          </v:shape>
          <o:OLEObject Type="Embed" ProgID="Equation.3" ShapeID="_x0000_i1042" DrawAspect="Content" ObjectID="_1619823403" r:id="rId43"/>
        </w:objec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rPr>
          <w:sz w:val="28"/>
          <w:szCs w:val="28"/>
          <w:vertAlign w:val="subscript"/>
        </w:rPr>
      </w:pPr>
      <w:r>
        <w:rPr>
          <w:sz w:val="28"/>
          <w:szCs w:val="28"/>
        </w:rPr>
        <w:tab/>
      </w:r>
      <w:r w:rsidRPr="0044577A">
        <w:rPr>
          <w:position w:val="-24"/>
          <w:sz w:val="28"/>
          <w:szCs w:val="28"/>
        </w:rPr>
        <w:object w:dxaOrig="900" w:dyaOrig="620">
          <v:shape id="_x0000_i1043" type="#_x0000_t75" style="width:43.5pt;height:28.5pt" o:ole="">
            <v:imagedata r:id="rId44" o:title=""/>
          </v:shape>
          <o:OLEObject Type="Embed" ProgID="Equation.3" ShapeID="_x0000_i1043" DrawAspect="Content" ObjectID="_1619823404" r:id="rId45"/>
        </w:object>
      </w:r>
    </w:p>
    <w:p w:rsidR="00524114" w:rsidRDefault="00524114">
      <w:pPr>
        <w:tabs>
          <w:tab w:val="left" w:pos="540"/>
          <w:tab w:val="center" w:pos="5600"/>
        </w:tabs>
        <w:spacing w:line="360" w:lineRule="auto"/>
        <w:ind w:left="1701"/>
        <w:rPr>
          <w:i/>
          <w:sz w:val="18"/>
          <w:szCs w:val="28"/>
        </w:rPr>
      </w:pPr>
    </w:p>
    <w:p w:rsidR="00524114" w:rsidRDefault="00524114">
      <w:pPr>
        <w:pStyle w:val="ad"/>
        <w:tabs>
          <w:tab w:val="left" w:pos="-180"/>
          <w:tab w:val="center" w:pos="0"/>
        </w:tabs>
        <w:spacing w:line="360" w:lineRule="auto"/>
        <w:ind w:left="981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2.3 Ход эксперимента</w:t>
      </w:r>
    </w:p>
    <w:p w:rsidR="00524114" w:rsidRDefault="00524114">
      <w:pPr>
        <w:pStyle w:val="ad"/>
        <w:numPr>
          <w:ilvl w:val="0"/>
          <w:numId w:val="11"/>
        </w:num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</w:rPr>
        <w:t>. с</w:t>
      </w:r>
      <w:proofErr w:type="spellStart"/>
      <w:r>
        <w:rPr>
          <w:i/>
          <w:iCs/>
          <w:sz w:val="28"/>
          <w:szCs w:val="28"/>
          <w:lang w:val="en-US"/>
        </w:rPr>
        <w:t>aeruleocynctus</w:t>
      </w:r>
      <w:proofErr w:type="spellEnd"/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собирались методом ручного сбора на территории почвенного стационара МГУ в г. Москве. </w:t>
      </w:r>
    </w:p>
    <w:p w:rsidR="00524114" w:rsidRDefault="00524114">
      <w:pPr>
        <w:pStyle w:val="ad"/>
        <w:numPr>
          <w:ilvl w:val="0"/>
          <w:numId w:val="11"/>
        </w:num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 с этим собирался субстрат, на котором кормились многоножки в природе</w:t>
      </w:r>
      <w:r w:rsidR="005116B5">
        <w:rPr>
          <w:sz w:val="28"/>
          <w:szCs w:val="28"/>
        </w:rPr>
        <w:t>,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опад</w:t>
      </w:r>
      <w:proofErr w:type="spellEnd"/>
      <w:r w:rsidRPr="007407B8">
        <w:rPr>
          <w:sz w:val="28"/>
          <w:szCs w:val="28"/>
        </w:rPr>
        <w:t xml:space="preserve"> </w:t>
      </w:r>
      <w:r>
        <w:rPr>
          <w:sz w:val="28"/>
          <w:szCs w:val="28"/>
        </w:rPr>
        <w:t>клёна остролистного и вяза гладкого.</w:t>
      </w:r>
    </w:p>
    <w:p w:rsidR="00524114" w:rsidRDefault="00524114">
      <w:pPr>
        <w:pStyle w:val="ad"/>
        <w:numPr>
          <w:ilvl w:val="0"/>
          <w:numId w:val="11"/>
        </w:num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Диплоподы</w:t>
      </w:r>
      <w:proofErr w:type="spellEnd"/>
      <w:r>
        <w:rPr>
          <w:sz w:val="28"/>
          <w:szCs w:val="28"/>
        </w:rPr>
        <w:t xml:space="preserve"> содержались не более 2 недель на </w:t>
      </w:r>
      <w:proofErr w:type="spellStart"/>
      <w:r>
        <w:rPr>
          <w:sz w:val="28"/>
          <w:szCs w:val="28"/>
        </w:rPr>
        <w:t>нативном</w:t>
      </w:r>
      <w:proofErr w:type="spellEnd"/>
      <w:r>
        <w:rPr>
          <w:sz w:val="28"/>
          <w:szCs w:val="28"/>
        </w:rPr>
        <w:t xml:space="preserve"> субстрате в лабораторных почвенных микрокосмах до момента начала проведения микробиологического исследования.</w:t>
      </w:r>
    </w:p>
    <w:p w:rsidR="00524114" w:rsidRDefault="00524114">
      <w:pPr>
        <w:pStyle w:val="ad"/>
        <w:numPr>
          <w:ilvl w:val="0"/>
          <w:numId w:val="11"/>
        </w:num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Содержимое кишечника многоножек получалось путем их вскрытия.</w:t>
      </w:r>
    </w:p>
    <w:p w:rsidR="00524114" w:rsidRDefault="00524114">
      <w:pPr>
        <w:pStyle w:val="ad"/>
        <w:numPr>
          <w:ilvl w:val="0"/>
          <w:numId w:val="11"/>
        </w:num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Суточные экскременты собирались с субстрата после суточного содержания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нативном</w:t>
      </w:r>
      <w:proofErr w:type="spellEnd"/>
      <w:r>
        <w:rPr>
          <w:sz w:val="28"/>
          <w:szCs w:val="28"/>
        </w:rPr>
        <w:t xml:space="preserve"> корме, очищенном от старых экскрементов.</w:t>
      </w:r>
    </w:p>
    <w:p w:rsidR="00524114" w:rsidRDefault="00524114">
      <w:pPr>
        <w:pStyle w:val="ad"/>
        <w:numPr>
          <w:ilvl w:val="0"/>
          <w:numId w:val="11"/>
        </w:num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Водная суспензия корма (</w:t>
      </w:r>
      <w:proofErr w:type="spellStart"/>
      <w:r>
        <w:rPr>
          <w:sz w:val="28"/>
          <w:szCs w:val="28"/>
        </w:rPr>
        <w:t>опада</w:t>
      </w:r>
      <w:proofErr w:type="spellEnd"/>
      <w:r>
        <w:rPr>
          <w:sz w:val="28"/>
          <w:szCs w:val="28"/>
        </w:rPr>
        <w:t xml:space="preserve">), кишечника и экскрементов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 подвергалась микробиологическому исследованию комплексным структурно-функциональным методом.</w:t>
      </w:r>
    </w:p>
    <w:p w:rsidR="00524114" w:rsidRDefault="00524114">
      <w:pPr>
        <w:pStyle w:val="ad"/>
        <w:numPr>
          <w:ilvl w:val="0"/>
          <w:numId w:val="11"/>
        </w:numPr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Новые результаты сопоставлялись с ранее полученными данными по кишечным бактериальным блокам тропических многоножек и других беспозвоночных.</w:t>
      </w:r>
    </w:p>
    <w:p w:rsidR="00524114" w:rsidRDefault="00524114">
      <w:pPr>
        <w:pStyle w:val="ad"/>
        <w:tabs>
          <w:tab w:val="left" w:pos="540"/>
          <w:tab w:val="center" w:pos="2268"/>
        </w:tabs>
        <w:spacing w:line="360" w:lineRule="auto"/>
        <w:ind w:left="1341"/>
        <w:jc w:val="both"/>
        <w:rPr>
          <w:sz w:val="28"/>
          <w:szCs w:val="28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2.4</w:t>
      </w:r>
      <w:r w:rsidR="005116B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Результаты и обсуждения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2.4.1 Характеристика экономических коэффициентов инициированных гидролитических бактериальных сообществ методом главных компонент и дискриминантного анализа</w:t>
      </w:r>
    </w:p>
    <w:p w:rsidR="00524114" w:rsidRDefault="00524114">
      <w:pPr>
        <w:tabs>
          <w:tab w:val="left" w:pos="2268"/>
        </w:tabs>
        <w:spacing w:line="360" w:lineRule="auto"/>
        <w:ind w:left="170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Несмотря на некоторые сложности при интерпретации данных, полученных по одному показателю в многовидовых микробных сообществах</w:t>
      </w:r>
      <w:r w:rsidR="005116B5">
        <w:rPr>
          <w:sz w:val="28"/>
          <w:szCs w:val="28"/>
        </w:rPr>
        <w:t>,</w:t>
      </w:r>
      <w:r>
        <w:rPr>
          <w:sz w:val="28"/>
          <w:szCs w:val="28"/>
        </w:rPr>
        <w:t xml:space="preserve"> описание микробной сукцессии кинетическими параметрами, разработанными для чистых культур микроорганизмов (по параметру </w:t>
      </w:r>
      <w:r>
        <w:rPr>
          <w:i/>
          <w:iCs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), позволяет классифицировать природные сообщества с помощью многомерных методов статистического анализа данных. При этом ординация параметров сообществ в факторном пространстве позволяет выявить их взаиморасположение в градиенте влияния фактора – воздействия на природные микробные сообщества разнообразных биологических факторов. При этом кинетические параметры (в частности </w:t>
      </w:r>
      <w:r>
        <w:rPr>
          <w:i/>
          <w:iCs/>
          <w:sz w:val="28"/>
          <w:szCs w:val="28"/>
          <w:lang w:val="en-US"/>
        </w:rPr>
        <w:t>Y</w:t>
      </w:r>
      <w:r>
        <w:rPr>
          <w:i/>
          <w:iCs/>
          <w:sz w:val="28"/>
          <w:szCs w:val="28"/>
        </w:rPr>
        <w:t xml:space="preserve">) </w:t>
      </w:r>
      <w:r>
        <w:rPr>
          <w:sz w:val="28"/>
          <w:szCs w:val="28"/>
        </w:rPr>
        <w:t xml:space="preserve">является не лабораторным артефактом, а реальным показателем эколого-физиологической характеристики микробного </w:t>
      </w:r>
      <w:r>
        <w:rPr>
          <w:sz w:val="28"/>
          <w:szCs w:val="28"/>
        </w:rPr>
        <w:lastRenderedPageBreak/>
        <w:t xml:space="preserve">сообщества. Нами была поставлена рабочая гипотеза, объясняющая микробиологический смысл </w:t>
      </w:r>
      <w:r>
        <w:rPr>
          <w:i/>
          <w:iCs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. Продолжая линию интерпретации сукцессии инициированных сообществ как одной популяции, мы понимаем </w:t>
      </w:r>
      <w:r>
        <w:rPr>
          <w:i/>
          <w:iCs/>
          <w:sz w:val="28"/>
          <w:szCs w:val="28"/>
          <w:lang w:val="en-US"/>
        </w:rPr>
        <w:t>Y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инициированных сообществ как аналог параметра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чистой культуры микроорганизмов, т.е. как эффективность усвоения того или иного полимера. Чем выше значение </w:t>
      </w:r>
      <w:r>
        <w:rPr>
          <w:i/>
          <w:iCs/>
          <w:sz w:val="28"/>
          <w:szCs w:val="28"/>
          <w:lang w:val="en-US"/>
        </w:rPr>
        <w:t>Y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той или иной среде с полимерами, тем больше эффективность его усвоения в природе. Это может быть связано со степенью эврибионтности и экологической пластичностью членов бактериального комплекса, способных расти на полимере или продуктах его трансформации. Этот показатель не всегда связан с таксономическим биоразнообразием. Большие значения </w:t>
      </w:r>
      <w:r>
        <w:rPr>
          <w:i/>
          <w:iCs/>
          <w:sz w:val="28"/>
          <w:szCs w:val="28"/>
        </w:rPr>
        <w:t>Y</w:t>
      </w:r>
      <w:r>
        <w:rPr>
          <w:sz w:val="28"/>
          <w:szCs w:val="28"/>
        </w:rPr>
        <w:t xml:space="preserve"> свидетельствуют о высокой продуктивности искусственного сообщества и об эффективном усвоении того или иного полимера. Такая ситуация возможна, когда в природном сообществе идет селекция быстрорастущих эврибионтных бактерий, способных активно расти в разных условиях, в том числе, в селективных условиях жидких питательных сред, использованных в работе. Это небольшое число легко культивируемых аэробных и факультативно-анаэробных гетеротрофных бактерий, из филумов </w:t>
      </w:r>
      <w:proofErr w:type="spellStart"/>
      <w:r>
        <w:rPr>
          <w:rStyle w:val="af0"/>
          <w:sz w:val="28"/>
          <w:szCs w:val="28"/>
          <w:shd w:val="clear" w:color="auto" w:fill="FFFFFF"/>
        </w:rPr>
        <w:t>Bacteroide</w:t>
      </w:r>
      <w:r>
        <w:rPr>
          <w:rStyle w:val="af0"/>
          <w:sz w:val="28"/>
          <w:szCs w:val="28"/>
          <w:shd w:val="clear" w:color="auto" w:fill="FFFFFF"/>
          <w:lang w:val="en-US"/>
        </w:rPr>
        <w:t>te</w:t>
      </w:r>
      <w:proofErr w:type="spellEnd"/>
      <w:r>
        <w:rPr>
          <w:rStyle w:val="af0"/>
          <w:sz w:val="28"/>
          <w:szCs w:val="28"/>
          <w:shd w:val="clear" w:color="auto" w:fill="FFFFFF"/>
        </w:rPr>
        <w:t>s</w:t>
      </w:r>
      <w:r>
        <w:rPr>
          <w:rStyle w:val="af0"/>
          <w:i w:val="0"/>
          <w:i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f0"/>
          <w:sz w:val="28"/>
          <w:szCs w:val="28"/>
          <w:shd w:val="clear" w:color="auto" w:fill="FFFFFF"/>
          <w:lang w:val="en-US"/>
        </w:rPr>
        <w:t>Firmicutes</w:t>
      </w:r>
      <w:proofErr w:type="spellEnd"/>
      <w:r>
        <w:rPr>
          <w:rStyle w:val="af0"/>
          <w:sz w:val="28"/>
          <w:szCs w:val="28"/>
          <w:shd w:val="clear" w:color="auto" w:fill="FFFFFF"/>
        </w:rPr>
        <w:t>,</w:t>
      </w:r>
      <w:proofErr w:type="spellStart"/>
      <w:r>
        <w:rPr>
          <w:i/>
          <w:iCs/>
          <w:sz w:val="28"/>
          <w:szCs w:val="28"/>
          <w:shd w:val="clear" w:color="auto" w:fill="FFFFFF"/>
        </w:rPr>
        <w:t>Proteobacteria</w:t>
      </w:r>
      <w:proofErr w:type="spellEnd"/>
      <w:r>
        <w:rPr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af0"/>
          <w:sz w:val="28"/>
          <w:szCs w:val="28"/>
          <w:shd w:val="clear" w:color="auto" w:fill="FFFFFF"/>
        </w:rPr>
        <w:t>Actinobacteria</w:t>
      </w:r>
      <w:proofErr w:type="spellEnd"/>
      <w:r>
        <w:rPr>
          <w:rStyle w:val="af0"/>
          <w:sz w:val="28"/>
          <w:szCs w:val="28"/>
          <w:shd w:val="clear" w:color="auto" w:fill="FFFFFF"/>
        </w:rPr>
        <w:t>.</w:t>
      </w:r>
    </w:p>
    <w:p w:rsidR="00524114" w:rsidRDefault="00524114">
      <w:pPr>
        <w:pStyle w:val="ad"/>
        <w:tabs>
          <w:tab w:val="center" w:pos="0"/>
          <w:tab w:val="left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того чтобы выявить скрытые закономерности в данных по </w:t>
      </w:r>
      <w:r>
        <w:rPr>
          <w:i/>
          <w:iCs/>
          <w:sz w:val="28"/>
          <w:szCs w:val="28"/>
          <w:lang w:val="en-US"/>
        </w:rPr>
        <w:t>Y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был проведён математический анализ в программе «</w:t>
      </w:r>
      <w:r>
        <w:rPr>
          <w:sz w:val="28"/>
          <w:szCs w:val="28"/>
          <w:lang w:val="en-US"/>
        </w:rPr>
        <w:t>STATISTICA</w:t>
      </w:r>
      <w:r>
        <w:rPr>
          <w:sz w:val="28"/>
          <w:szCs w:val="28"/>
        </w:rPr>
        <w:t xml:space="preserve"> 8» методом главных компонент. Анализ выявил два статистически значимых фактора -- главная компонента 1 и 2 (ГК1 и ГК2), суммарно объясняющих 64% дисперсии. </w:t>
      </w:r>
      <w:r>
        <w:rPr>
          <w:sz w:val="28"/>
          <w:szCs w:val="28"/>
        </w:rPr>
        <w:tab/>
        <w:t>Уравнение, описывающее функцию ГК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(объясняющую 54 % дисперсии), может быть упрощено до </w:t>
      </w:r>
      <w:r w:rsidRPr="0044577A">
        <w:rPr>
          <w:position w:val="-4"/>
          <w:sz w:val="28"/>
          <w:szCs w:val="28"/>
        </w:rPr>
        <w:object w:dxaOrig="220" w:dyaOrig="320">
          <v:shape id="_x0000_i1044" type="#_x0000_t75" style="width:14.25pt;height:14.25pt" o:ole="">
            <v:imagedata r:id="rId46" o:title=""/>
          </v:shape>
          <o:OLEObject Type="Embed" ProgID="Equation.3" ShapeID="_x0000_i1044" DrawAspect="Content" ObjectID="_1619823405" r:id="rId47"/>
        </w:object>
      </w:r>
      <w:r>
        <w:rPr>
          <w:sz w:val="28"/>
          <w:szCs w:val="28"/>
        </w:rPr>
        <w:t>- среднеарифметического</w:t>
      </w:r>
      <w:r>
        <w:rPr>
          <w:i/>
          <w:iCs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,определённого для 12 сред с </w:t>
      </w:r>
      <w:r>
        <w:rPr>
          <w:sz w:val="28"/>
          <w:szCs w:val="28"/>
        </w:rPr>
        <w:lastRenderedPageBreak/>
        <w:t xml:space="preserve">полимерами. После анализа значения этого параметра для различных природных сообществ микроорганизмов, был сделан вывод, что биологический смысл этого параметра – степень выраженности конкуренции за полимеры у бактерий в природных сообществах. </w: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>Уравнение, описывающее функцию ГК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может быть упрощено до </w:t>
      </w:r>
      <w:r>
        <w:rPr>
          <w:i/>
          <w:iCs/>
          <w:sz w:val="28"/>
          <w:szCs w:val="28"/>
          <w:lang w:val="en-US"/>
        </w:rPr>
        <w:t>Y</w:t>
      </w:r>
      <w:proofErr w:type="spellStart"/>
      <w:r>
        <w:rPr>
          <w:i/>
          <w:iCs/>
          <w:sz w:val="28"/>
          <w:szCs w:val="28"/>
          <w:vertAlign w:val="subscript"/>
        </w:rPr>
        <w:t>разн</w:t>
      </w:r>
      <w:proofErr w:type="spellEnd"/>
      <w:r>
        <w:rPr>
          <w:i/>
          <w:iCs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разность среднеарифметических экономических коэффициентов на трудно- и легкодоступных полимерах. Он </w:t>
      </w:r>
      <w:proofErr w:type="gramStart"/>
      <w:r>
        <w:rPr>
          <w:sz w:val="28"/>
          <w:szCs w:val="28"/>
        </w:rPr>
        <w:t>отражает</w:t>
      </w:r>
      <w:proofErr w:type="gramEnd"/>
      <w:r>
        <w:rPr>
          <w:sz w:val="28"/>
          <w:szCs w:val="28"/>
        </w:rPr>
        <w:t xml:space="preserve"> в каких группах бактерий больше конкуренция за субстрат - среди относительной узкой группы </w:t>
      </w:r>
      <w:proofErr w:type="spellStart"/>
      <w:r>
        <w:rPr>
          <w:sz w:val="28"/>
          <w:szCs w:val="28"/>
        </w:rPr>
        <w:t>гидролитиков</w:t>
      </w:r>
      <w:proofErr w:type="spellEnd"/>
      <w:r>
        <w:rPr>
          <w:sz w:val="28"/>
          <w:szCs w:val="28"/>
        </w:rPr>
        <w:t xml:space="preserve"> (способных разлагать труднодоступные целлюлозу, хитин, кератин, </w:t>
      </w:r>
      <w:proofErr w:type="spellStart"/>
      <w:r>
        <w:rPr>
          <w:sz w:val="28"/>
          <w:szCs w:val="28"/>
        </w:rPr>
        <w:t>агарозу</w:t>
      </w:r>
      <w:proofErr w:type="spellEnd"/>
      <w:r>
        <w:rPr>
          <w:sz w:val="28"/>
          <w:szCs w:val="28"/>
        </w:rPr>
        <w:t xml:space="preserve">)  или </w:t>
      </w:r>
      <w:proofErr w:type="spellStart"/>
      <w:r>
        <w:rPr>
          <w:sz w:val="28"/>
          <w:szCs w:val="28"/>
        </w:rPr>
        <w:t>копитрофов</w:t>
      </w:r>
      <w:proofErr w:type="spellEnd"/>
      <w:r>
        <w:rPr>
          <w:sz w:val="28"/>
          <w:szCs w:val="28"/>
        </w:rPr>
        <w:t xml:space="preserve">, не разлагающих полимеры или разлагающие легкодоступные полимеры (твин, инулин, крахмал, пектин, декстран). В почвенной микробиологии под </w:t>
      </w:r>
      <w:proofErr w:type="spellStart"/>
      <w:r>
        <w:rPr>
          <w:sz w:val="28"/>
          <w:szCs w:val="28"/>
        </w:rPr>
        <w:t>гидролитиками</w:t>
      </w:r>
      <w:proofErr w:type="spellEnd"/>
      <w:r>
        <w:rPr>
          <w:sz w:val="28"/>
          <w:szCs w:val="28"/>
        </w:rPr>
        <w:t xml:space="preserve"> в узком смысле этого слова понимаются микроорганизмы, которые разлагают только труднодоступные полимеры (хитин, целлюлозу, </w:t>
      </w:r>
      <w:proofErr w:type="spellStart"/>
      <w:r>
        <w:rPr>
          <w:sz w:val="28"/>
          <w:szCs w:val="28"/>
        </w:rPr>
        <w:t>агарозу</w:t>
      </w:r>
      <w:proofErr w:type="spellEnd"/>
      <w:r>
        <w:rPr>
          <w:sz w:val="28"/>
          <w:szCs w:val="28"/>
        </w:rPr>
        <w:t xml:space="preserve">, кератин). Интересно отметить, что метод главных компонент таким образом подтвердил существование узкой группы истинных </w:t>
      </w:r>
      <w:proofErr w:type="spellStart"/>
      <w:r>
        <w:rPr>
          <w:sz w:val="28"/>
          <w:szCs w:val="28"/>
        </w:rPr>
        <w:t>гидролитиков</w:t>
      </w:r>
      <w:proofErr w:type="spellEnd"/>
      <w:r>
        <w:rPr>
          <w:sz w:val="28"/>
          <w:szCs w:val="28"/>
        </w:rPr>
        <w:t xml:space="preserve">, отличающейся от </w:t>
      </w:r>
      <w:proofErr w:type="spellStart"/>
      <w:r>
        <w:rPr>
          <w:sz w:val="28"/>
          <w:szCs w:val="28"/>
        </w:rPr>
        <w:t>копиотрофов</w:t>
      </w:r>
      <w:proofErr w:type="spellEnd"/>
      <w:r>
        <w:rPr>
          <w:sz w:val="28"/>
          <w:szCs w:val="28"/>
        </w:rPr>
        <w:t xml:space="preserve">. </w: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Применяя </w:t>
      </w:r>
      <w:r w:rsidRPr="0044577A">
        <w:rPr>
          <w:position w:val="-4"/>
          <w:sz w:val="28"/>
          <w:szCs w:val="28"/>
        </w:rPr>
        <w:object w:dxaOrig="220" w:dyaOrig="320">
          <v:shape id="_x0000_i1045" type="#_x0000_t75" style="width:14.25pt;height:14.25pt" o:ole="">
            <v:imagedata r:id="rId46" o:title=""/>
          </v:shape>
          <o:OLEObject Type="Embed" ProgID="Equation.3" ShapeID="_x0000_i1045" DrawAspect="Content" ObjectID="_1619823406" r:id="rId48"/>
        </w:object>
      </w:r>
      <w:r>
        <w:rPr>
          <w:sz w:val="28"/>
          <w:szCs w:val="28"/>
        </w:rPr>
        <w:t xml:space="preserve"> и  </w:t>
      </w:r>
      <w:proofErr w:type="gramStart"/>
      <w:r>
        <w:rPr>
          <w:i/>
          <w:iCs/>
          <w:sz w:val="28"/>
          <w:szCs w:val="28"/>
          <w:lang w:val="en-US"/>
        </w:rPr>
        <w:t>Y</w:t>
      </w:r>
      <w:proofErr w:type="spellStart"/>
      <w:proofErr w:type="gramEnd"/>
      <w:r>
        <w:rPr>
          <w:i/>
          <w:iCs/>
          <w:sz w:val="28"/>
          <w:szCs w:val="28"/>
          <w:vertAlign w:val="subscript"/>
        </w:rPr>
        <w:t>разн</w:t>
      </w:r>
      <w:proofErr w:type="spellEnd"/>
      <w:r>
        <w:rPr>
          <w:sz w:val="28"/>
          <w:szCs w:val="28"/>
        </w:rPr>
        <w:t xml:space="preserve">  к анализу кишечных бактериальных комплексов </w:t>
      </w:r>
      <w:r>
        <w:rPr>
          <w:i/>
          <w:iCs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</w:rPr>
        <w:t xml:space="preserve">. </w:t>
      </w:r>
      <w:proofErr w:type="spellStart"/>
      <w:r>
        <w:rPr>
          <w:i/>
          <w:iCs/>
          <w:sz w:val="28"/>
          <w:szCs w:val="28"/>
          <w:lang w:val="en-US"/>
        </w:rPr>
        <w:t>caeruleocynctus</w:t>
      </w:r>
      <w:proofErr w:type="spellEnd"/>
      <w:r>
        <w:rPr>
          <w:sz w:val="28"/>
          <w:szCs w:val="28"/>
        </w:rPr>
        <w:t xml:space="preserve"> можно утверждать, что существуют значительные отличия кишечного бактериального блока от бактериального блока корма (</w:t>
      </w:r>
      <w:proofErr w:type="spellStart"/>
      <w:r>
        <w:rPr>
          <w:sz w:val="28"/>
          <w:szCs w:val="28"/>
        </w:rPr>
        <w:t>опада</w:t>
      </w:r>
      <w:proofErr w:type="spellEnd"/>
      <w:r>
        <w:rPr>
          <w:sz w:val="28"/>
          <w:szCs w:val="28"/>
        </w:rPr>
        <w:t xml:space="preserve">) (рисунок 1). Эти отличия могут быть вызваны большей степенью конкуренции за полимеры в кишечнике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, причём эта конкуренция выражена на труднодоступных полимерах больше, чем на легкодоступных.  Интересно, что степени конкуренции в  бактериальных комплексах корма свежих (суточных) экскрементов  и </w:t>
      </w:r>
      <w:proofErr w:type="spellStart"/>
      <w:r>
        <w:rPr>
          <w:sz w:val="28"/>
          <w:szCs w:val="28"/>
        </w:rPr>
        <w:t>опада</w:t>
      </w:r>
      <w:proofErr w:type="spellEnd"/>
      <w:r>
        <w:rPr>
          <w:sz w:val="28"/>
          <w:szCs w:val="28"/>
        </w:rPr>
        <w:t xml:space="preserve"> близки.  </w: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Был предусмотрен вариант с 10 кратным разбавлением кишечной суспензии и, как видно из рисунка, значения  приближаются к массиву данных по корму и экскрементам (рисунок 1). Таким образом, можно предположить, что столь сильные отличия кишечного сообщества по </w:t>
      </w:r>
      <w:proofErr w:type="gramStart"/>
      <w:r>
        <w:rPr>
          <w:i/>
          <w:iCs/>
          <w:sz w:val="28"/>
          <w:szCs w:val="28"/>
          <w:lang w:val="en-US"/>
        </w:rPr>
        <w:t>Y</w:t>
      </w:r>
      <w:proofErr w:type="spellStart"/>
      <w:proofErr w:type="gramEnd"/>
      <w:r>
        <w:rPr>
          <w:i/>
          <w:iCs/>
          <w:sz w:val="28"/>
          <w:szCs w:val="28"/>
          <w:vertAlign w:val="subscript"/>
        </w:rPr>
        <w:t>разн</w:t>
      </w:r>
      <w:proofErr w:type="spellEnd"/>
      <w:r>
        <w:rPr>
          <w:sz w:val="28"/>
          <w:szCs w:val="28"/>
        </w:rPr>
        <w:t xml:space="preserve"> и </w:t>
      </w:r>
      <w:r w:rsidRPr="0044577A">
        <w:rPr>
          <w:position w:val="-4"/>
          <w:sz w:val="28"/>
          <w:szCs w:val="28"/>
        </w:rPr>
        <w:object w:dxaOrig="220" w:dyaOrig="320">
          <v:shape id="_x0000_i1046" type="#_x0000_t75" style="width:14.25pt;height:14.25pt" o:ole="">
            <v:imagedata r:id="rId49" o:title=""/>
          </v:shape>
          <o:OLEObject Type="Embed" ProgID="Equation.3" ShapeID="_x0000_i1046" DrawAspect="Content" ObjectID="_1619823407" r:id="rId50"/>
        </w:object>
      </w:r>
      <w:r>
        <w:rPr>
          <w:sz w:val="28"/>
          <w:szCs w:val="28"/>
        </w:rPr>
        <w:t xml:space="preserve"> от корма и экскрементов связано с увеличением концентрации клеток бактерий в богатом пищей местообитании в кишечнике, что в свою очередь усиливает конкуренцию. Нельзя исключить возможности и другого объяснения: высокие значения параметров обеспечивает кишечная жидкость многоножек, которая сама не может обеспечить рост, но может оказать стимулирующее воздействие на инициированные сообщества (</w:t>
      </w:r>
      <w:proofErr w:type="spellStart"/>
      <w:r>
        <w:rPr>
          <w:sz w:val="28"/>
          <w:szCs w:val="28"/>
        </w:rPr>
        <w:t>Бызов</w:t>
      </w:r>
      <w:proofErr w:type="spellEnd"/>
      <w:r>
        <w:rPr>
          <w:sz w:val="28"/>
          <w:szCs w:val="28"/>
        </w:rPr>
        <w:t>, 2005).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</w:pPr>
      <w:r>
        <w:object w:dxaOrig="6676" w:dyaOrig="5029">
          <v:shape id="_x0000_i1047" type="#_x0000_t75" style="width:331.5pt;height:252pt" o:ole="">
            <v:imagedata r:id="rId51" o:title=""/>
          </v:shape>
          <o:OLEObject Type="Embed" ProgID="STATISTICA.Graph" ShapeID="_x0000_i1047" DrawAspect="Content" ObjectID="_1619823408" r:id="rId52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  <w:r>
        <w:t>Рисунок 1. Соотношение экофизиологических параметров: трофическая специализация и физиологическое разнообразие инициированных  гидролитических сообществ кишечников кивсяков, их корма и экскрементов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</w:pPr>
    </w:p>
    <w:p w:rsidR="00524114" w:rsidRDefault="00524114">
      <w:pPr>
        <w:pStyle w:val="ad"/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</w:rPr>
      </w:pPr>
      <w:r>
        <w:rPr>
          <w:sz w:val="28"/>
        </w:rPr>
        <w:tab/>
      </w:r>
      <w:r w:rsidR="00A267E0">
        <w:rPr>
          <w:sz w:val="28"/>
        </w:rPr>
        <w:t xml:space="preserve">        </w:t>
      </w:r>
      <w:r>
        <w:rPr>
          <w:sz w:val="28"/>
        </w:rPr>
        <w:t xml:space="preserve">После сравнения экономических коэффициентов бактериальных сообществ кишечников </w:t>
      </w:r>
      <w:r>
        <w:rPr>
          <w:i/>
          <w:iCs/>
          <w:sz w:val="28"/>
        </w:rPr>
        <w:t xml:space="preserve">C. </w:t>
      </w:r>
      <w:r>
        <w:rPr>
          <w:i/>
          <w:iCs/>
          <w:sz w:val="28"/>
          <w:lang w:val="en-US"/>
        </w:rPr>
        <w:t>c</w:t>
      </w:r>
      <w:proofErr w:type="spellStart"/>
      <w:r>
        <w:rPr>
          <w:i/>
          <w:iCs/>
          <w:sz w:val="28"/>
        </w:rPr>
        <w:t>aeruleoc</w:t>
      </w:r>
      <w:proofErr w:type="spellEnd"/>
      <w:r>
        <w:rPr>
          <w:i/>
          <w:iCs/>
          <w:sz w:val="28"/>
          <w:lang w:val="en-US"/>
        </w:rPr>
        <w:t>y</w:t>
      </w:r>
      <w:proofErr w:type="spellStart"/>
      <w:r>
        <w:rPr>
          <w:i/>
          <w:iCs/>
          <w:sz w:val="28"/>
        </w:rPr>
        <w:t>nctus</w:t>
      </w:r>
      <w:proofErr w:type="spellEnd"/>
      <w:r>
        <w:rPr>
          <w:sz w:val="28"/>
        </w:rPr>
        <w:t xml:space="preserve"> с ранее полученными экономическими коэффициентами для </w:t>
      </w:r>
      <w:proofErr w:type="spellStart"/>
      <w:r>
        <w:rPr>
          <w:sz w:val="28"/>
        </w:rPr>
        <w:lastRenderedPageBreak/>
        <w:t>сообществкишечников</w:t>
      </w:r>
      <w:proofErr w:type="spellEnd"/>
      <w:r>
        <w:rPr>
          <w:sz w:val="28"/>
        </w:rPr>
        <w:t xml:space="preserve"> других </w:t>
      </w:r>
      <w:proofErr w:type="spellStart"/>
      <w:r>
        <w:rPr>
          <w:sz w:val="28"/>
        </w:rPr>
        <w:t>многоножекбыли</w:t>
      </w:r>
      <w:proofErr w:type="spellEnd"/>
      <w:r>
        <w:rPr>
          <w:sz w:val="28"/>
        </w:rPr>
        <w:t xml:space="preserve"> выявлены определенные закономерности. В составе кишечных блоков </w:t>
      </w:r>
      <w:proofErr w:type="spellStart"/>
      <w:r>
        <w:rPr>
          <w:sz w:val="28"/>
        </w:rPr>
        <w:t>диплопод</w:t>
      </w:r>
      <w:proofErr w:type="spellEnd"/>
      <w:r>
        <w:rPr>
          <w:sz w:val="28"/>
        </w:rPr>
        <w:t xml:space="preserve"> наблюдается следующая картина: чем выше физиологическое разнообразие, тем выше специализация гидролитического блока на разложении труднодоступных полимеров (рисунок 2).  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rPr>
          <w:sz w:val="28"/>
        </w:rPr>
      </w:pPr>
    </w:p>
    <w:p w:rsidR="00524114" w:rsidRDefault="002B744C">
      <w:pPr>
        <w:pStyle w:val="ad"/>
        <w:tabs>
          <w:tab w:val="left" w:pos="540"/>
          <w:tab w:val="center" w:pos="5600"/>
        </w:tabs>
        <w:spacing w:line="360" w:lineRule="auto"/>
        <w:ind w:left="1701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48225" cy="3638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  <w:r>
        <w:t>Рисунок 2. Сравнение урожаев гидролитических блоков кишечников беспозвоночных</w:t>
      </w:r>
    </w:p>
    <w:p w:rsidR="00524114" w:rsidRDefault="00524114">
      <w:pPr>
        <w:pStyle w:val="ad"/>
        <w:tabs>
          <w:tab w:val="left" w:pos="540"/>
          <w:tab w:val="center" w:pos="2268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32"/>
        </w:rPr>
        <w:tab/>
      </w:r>
      <w:r w:rsidR="00A267E0">
        <w:rPr>
          <w:sz w:val="32"/>
        </w:rPr>
        <w:t xml:space="preserve">         </w:t>
      </w:r>
      <w:r>
        <w:rPr>
          <w:sz w:val="28"/>
          <w:szCs w:val="28"/>
        </w:rPr>
        <w:t>Чтобы лучше понимать специфику кишечных сообществ</w:t>
      </w:r>
      <w:r w:rsidR="00A267E0">
        <w:rPr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Cylindroiulus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caeruleocynctus</w:t>
      </w:r>
      <w:proofErr w:type="spellEnd"/>
      <w:r>
        <w:rPr>
          <w:sz w:val="28"/>
          <w:szCs w:val="28"/>
        </w:rPr>
        <w:t xml:space="preserve"> мы сравнивали их с кишечными сообществами хищных почвенных животных (</w:t>
      </w:r>
      <w:proofErr w:type="spellStart"/>
      <w:r>
        <w:rPr>
          <w:sz w:val="28"/>
          <w:szCs w:val="28"/>
          <w:lang w:val="en-US"/>
        </w:rPr>
        <w:t>Carabus</w:t>
      </w:r>
      <w:proofErr w:type="spellEnd"/>
      <w:r w:rsidR="00A267E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nemoralis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  <w:lang w:val="en-US"/>
        </w:rPr>
        <w:t>Lithobius</w:t>
      </w:r>
      <w:proofErr w:type="spellEnd"/>
      <w:r w:rsidR="00A267E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formicatus</w:t>
      </w:r>
      <w:proofErr w:type="spellEnd"/>
      <w:r>
        <w:rPr>
          <w:sz w:val="28"/>
          <w:szCs w:val="28"/>
        </w:rPr>
        <w:t xml:space="preserve">) и </w:t>
      </w:r>
      <w:proofErr w:type="spellStart"/>
      <w:r>
        <w:rPr>
          <w:sz w:val="28"/>
          <w:szCs w:val="28"/>
        </w:rPr>
        <w:t>фитомонофагов</w:t>
      </w:r>
      <w:proofErr w:type="spellEnd"/>
      <w:r>
        <w:rPr>
          <w:sz w:val="28"/>
          <w:szCs w:val="28"/>
        </w:rPr>
        <w:t xml:space="preserve"> (гусениц</w:t>
      </w:r>
      <w:r w:rsidR="00A267E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Deilephila</w:t>
      </w:r>
      <w:proofErr w:type="spellEnd"/>
      <w:r w:rsidR="00A267E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elpenor</w:t>
      </w:r>
      <w:proofErr w:type="spellEnd"/>
      <w:r>
        <w:rPr>
          <w:sz w:val="28"/>
          <w:szCs w:val="28"/>
        </w:rPr>
        <w:t xml:space="preserve">) в ходе дискриминантного анализа. Удалось выявить два биологических фактора, формально выраженные через дискриминационные функции, которые разделяют кишечные сообщества (рисунок 3, 4). Первый фактор (дискриминационная </w:t>
      </w:r>
      <w:r>
        <w:rPr>
          <w:sz w:val="28"/>
          <w:szCs w:val="28"/>
        </w:rPr>
        <w:lastRenderedPageBreak/>
        <w:t xml:space="preserve">функция 1) интерпретируется нами как влияние типа питания: сапрофаг, хищник, фитофаг. Второй фактор – это отличие кишечных сообществ потребителей растительной пищи от кишечных бактериальных блоков зоофагов. 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-142" w:firstLine="284"/>
        <w:jc w:val="center"/>
      </w:pPr>
      <w:r>
        <w:object w:dxaOrig="6736" w:dyaOrig="5076">
          <v:shape id="_x0000_i1048" type="#_x0000_t75" style="width:338.25pt;height:252pt" o:ole="">
            <v:imagedata r:id="rId54" o:title=""/>
          </v:shape>
          <o:OLEObject Type="Embed" ProgID="STATISTICA.Graph" ShapeID="_x0000_i1048" DrawAspect="Content" ObjectID="_1619823409" r:id="rId55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  <w:r>
        <w:t>Рисунок 3. Сравнение урожаев бактериальных блоков кишечников хищных животных и фитофагов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bCs/>
        </w:rPr>
        <w:tab/>
      </w:r>
      <w:r>
        <w:rPr>
          <w:sz w:val="28"/>
          <w:szCs w:val="28"/>
        </w:rPr>
        <w:t>ДФ1 отражает соотношение конкуренции в кишечнике за потребление бактериями труднодоступных полимеров (</w:t>
      </w:r>
      <w:proofErr w:type="spellStart"/>
      <w:r>
        <w:rPr>
          <w:sz w:val="28"/>
          <w:szCs w:val="28"/>
        </w:rPr>
        <w:t>агароза</w:t>
      </w:r>
      <w:proofErr w:type="spellEnd"/>
      <w:r>
        <w:rPr>
          <w:sz w:val="28"/>
          <w:szCs w:val="28"/>
        </w:rPr>
        <w:t xml:space="preserve">) и легкодоступных (казеин и декстран. Возможно, у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-сапрофагов в питании большую роль играет разрушение микробной биомассы (легкодоступные белки - аналоги казеина и капсульных полисахаридов - аналогов декстрана), а у хищников и фитофагов непосредственное потребление полимеров пищи, поэтому кишечные микроорганизмы конкурируют за потребление тех полимеров, для разложения которых используются ферменты, способные так же и </w:t>
      </w:r>
      <w:proofErr w:type="spellStart"/>
      <w:r>
        <w:rPr>
          <w:sz w:val="28"/>
          <w:szCs w:val="28"/>
        </w:rPr>
        <w:t>гидролизовать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агарозу</w:t>
      </w:r>
      <w:proofErr w:type="spellEnd"/>
      <w:r>
        <w:rPr>
          <w:sz w:val="28"/>
          <w:szCs w:val="28"/>
        </w:rPr>
        <w:t xml:space="preserve">. ДФ2, возможно, отражает соотношение конкуренции в кишечном комплексе за потребление основных растительных полимеров (целлюлозы и </w:t>
      </w:r>
      <w:proofErr w:type="spellStart"/>
      <w:r>
        <w:rPr>
          <w:sz w:val="28"/>
          <w:szCs w:val="28"/>
        </w:rPr>
        <w:lastRenderedPageBreak/>
        <w:t>ксилана</w:t>
      </w:r>
      <w:proofErr w:type="spellEnd"/>
      <w:r>
        <w:rPr>
          <w:sz w:val="28"/>
          <w:szCs w:val="28"/>
        </w:rPr>
        <w:t>), которая выше у фитофагов и сапрофагов, а также конкуренции за разложение ДНК, которая оказывается выше у зоофагов.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</w:pPr>
      <w:r>
        <w:object w:dxaOrig="6840" w:dyaOrig="5149">
          <v:shape id="_x0000_i1049" type="#_x0000_t75" style="width:345.75pt;height:252pt" o:ole="">
            <v:imagedata r:id="rId56" o:title=""/>
          </v:shape>
          <o:OLEObject Type="Embed" ProgID="STATISTICA.Graph" ShapeID="_x0000_i1049" DrawAspect="Content" ObjectID="_1619823410" r:id="rId57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</w:pPr>
      <w:r>
        <w:object w:dxaOrig="6304" w:dyaOrig="4746">
          <v:shape id="_x0000_i1050" type="#_x0000_t75" style="width:309.75pt;height:230.25pt" o:ole="">
            <v:imagedata r:id="rId58" o:title=""/>
          </v:shape>
          <o:OLEObject Type="Embed" ProgID="STATISTICA.Graph" ShapeID="_x0000_i1050" DrawAspect="Content" ObjectID="_1619823411" r:id="rId59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</w:pPr>
      <w:r>
        <w:object w:dxaOrig="6329" w:dyaOrig="4769">
          <v:shape id="_x0000_i1051" type="#_x0000_t75" style="width:316.5pt;height:237.75pt" o:ole="">
            <v:imagedata r:id="rId60" o:title=""/>
          </v:shape>
          <o:OLEObject Type="Embed" ProgID="STATISTICA.Graph" ShapeID="_x0000_i1051" DrawAspect="Content" ObjectID="_1619823412" r:id="rId61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  <w:r>
        <w:t xml:space="preserve">Рисунок 4. а-стандартизированные коэффициенты при параметрах </w:t>
      </w:r>
      <w:r>
        <w:rPr>
          <w:lang w:val="en-US"/>
        </w:rPr>
        <w:t>Y</w:t>
      </w:r>
      <w:r>
        <w:t xml:space="preserve"> в дискриминационных функциях 1 и 2, отражающие особенности потребления полимеров для хищников и фитофагов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  <w:r>
        <w:t>б- корреляция между ДФ1 и её значением; в- корреляция между ДФ2 и её значением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 w:firstLine="567"/>
        <w:jc w:val="both"/>
      </w:pPr>
      <w:r>
        <w:rPr>
          <w:sz w:val="28"/>
          <w:szCs w:val="28"/>
        </w:rPr>
        <w:tab/>
        <w:t xml:space="preserve">Сообщество корма, кишечника и экскрементов </w:t>
      </w:r>
      <w:proofErr w:type="spellStart"/>
      <w:r>
        <w:rPr>
          <w:i/>
          <w:iCs/>
          <w:sz w:val="28"/>
          <w:szCs w:val="28"/>
        </w:rPr>
        <w:t>Cylindroiulus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caeruleocynctus</w:t>
      </w:r>
      <w:proofErr w:type="spellEnd"/>
      <w:r>
        <w:rPr>
          <w:sz w:val="28"/>
          <w:szCs w:val="28"/>
        </w:rPr>
        <w:t xml:space="preserve"> сравнивались методом главных компонент по количеству ступеней на кривой роста инициированных гидролитических сообществ. Оказалось, что их число возрастает в кишечном сообществе по сравнению с сообществами корма и </w:t>
      </w:r>
      <w:proofErr w:type="spellStart"/>
      <w:r>
        <w:rPr>
          <w:sz w:val="28"/>
          <w:szCs w:val="28"/>
        </w:rPr>
        <w:t>опада</w:t>
      </w:r>
      <w:proofErr w:type="spellEnd"/>
      <w:r>
        <w:rPr>
          <w:sz w:val="28"/>
          <w:szCs w:val="28"/>
        </w:rPr>
        <w:t>, что, возможно, является мерой полноты использования полимера в исходном сообществе. В более сложном сообществе полнее используются метаболиты, образующиеся при трансформации полимера, поэтому рост становится более многоступенчатым (рисунок 5).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</w:pPr>
    </w:p>
    <w:bookmarkStart w:id="0" w:name="_GoBack"/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  <w:rPr>
          <w:lang w:val="en-US"/>
        </w:rPr>
      </w:pPr>
      <w:r>
        <w:object w:dxaOrig="6369" w:dyaOrig="4785">
          <v:shape id="_x0000_i1052" type="#_x0000_t75" style="width:316.5pt;height:237.75pt" o:ole="">
            <v:imagedata r:id="rId62" o:title=""/>
          </v:shape>
          <o:OLEObject Type="Embed" ProgID="STATISTICA.Graph" ShapeID="_x0000_i1052" DrawAspect="Content" ObjectID="_1619823413" r:id="rId63">
            <o:FieldCodes>\s</o:FieldCodes>
          </o:OLEObject>
        </w:object>
      </w:r>
    </w:p>
    <w:bookmarkEnd w:id="0"/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  <w:rPr>
          <w:lang w:val="en-US"/>
        </w:rPr>
      </w:pPr>
      <w:r>
        <w:object w:dxaOrig="5767" w:dyaOrig="4321">
          <v:shape id="_x0000_i1053" type="#_x0000_t75" style="width:4in;height:3in" o:ole="">
            <v:imagedata r:id="rId64" o:title=""/>
          </v:shape>
          <o:OLEObject Type="Embed" ProgID="STATISTICA.Graph" ShapeID="_x0000_i1053" DrawAspect="Content" ObjectID="_1619823414" r:id="rId65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</w:pPr>
      <w:r>
        <w:object w:dxaOrig="6121" w:dyaOrig="4603">
          <v:shape id="_x0000_i1054" type="#_x0000_t75" style="width:309.75pt;height:230.25pt" o:ole="">
            <v:imagedata r:id="rId66" o:title=""/>
          </v:shape>
          <o:OLEObject Type="Embed" ProgID="STATISTICA.Graph" ShapeID="_x0000_i1054" DrawAspect="Content" ObjectID="_1619823415" r:id="rId67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rPr>
          <w:iCs/>
        </w:rPr>
      </w:pPr>
      <w:r>
        <w:lastRenderedPageBreak/>
        <w:t xml:space="preserve">Рисунок 5. Кривые роста бактериальных гидролитических комплексов корма, кишечника и экскрементов </w:t>
      </w:r>
      <w:proofErr w:type="spellStart"/>
      <w:r>
        <w:rPr>
          <w:i/>
          <w:iCs/>
        </w:rPr>
        <w:t>Cylindroiulus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caeruleocynctus</w:t>
      </w:r>
      <w:proofErr w:type="spellEnd"/>
      <w:r>
        <w:rPr>
          <w:i/>
          <w:iCs/>
        </w:rPr>
        <w:t xml:space="preserve"> </w:t>
      </w:r>
      <w:r>
        <w:rPr>
          <w:iCs/>
        </w:rPr>
        <w:t>(цифрами обозначены этапы роста) и главные компоненты, описывающие их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</w:pPr>
    </w:p>
    <w:p w:rsidR="00524114" w:rsidRDefault="00524114">
      <w:pPr>
        <w:pStyle w:val="ad"/>
        <w:tabs>
          <w:tab w:val="left" w:pos="540"/>
          <w:tab w:val="center" w:pos="2268"/>
        </w:tabs>
        <w:spacing w:line="360" w:lineRule="auto"/>
        <w:ind w:left="1701"/>
        <w:jc w:val="both"/>
      </w:pPr>
      <w:r>
        <w:rPr>
          <w:sz w:val="28"/>
          <w:szCs w:val="28"/>
        </w:rPr>
        <w:tab/>
      </w:r>
      <w:r w:rsidR="00A267E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Максимальная удельная скорость роста инициированных сообществ рассматривается нами как показатель силы </w:t>
      </w:r>
      <w:r>
        <w:rPr>
          <w:i/>
          <w:iCs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-отбора в природном сообществе, так как она указывает на увеличение доли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-стратегов в исходном кишечном сообществе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 (рисунок 6)</w:t>
      </w:r>
      <w:r>
        <w:t>.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</w:pPr>
      <w:r>
        <w:object w:dxaOrig="5640" w:dyaOrig="5640">
          <v:shape id="_x0000_i1055" type="#_x0000_t75" style="width:280.5pt;height:280.5pt" o:ole="">
            <v:imagedata r:id="rId68" o:title=""/>
          </v:shape>
          <o:OLEObject Type="Embed" ProgID="STATISTICA.Graph" ShapeID="_x0000_i1055" DrawAspect="Content" ObjectID="_1619823416" r:id="rId69">
            <o:FieldCodes>\s</o:FieldCodes>
          </o:OLEObject>
        </w:object>
      </w:r>
      <w:r>
        <w:object w:dxaOrig="5535" w:dyaOrig="4152">
          <v:shape id="_x0000_i1056" type="#_x0000_t75" style="width:273.75pt;height:208.5pt" o:ole="">
            <v:imagedata r:id="rId70" o:title=""/>
          </v:shape>
          <o:OLEObject Type="Embed" ProgID="STATISTICA.Graph" ShapeID="_x0000_i1056" DrawAspect="Content" ObjectID="_1619823417" r:id="rId71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  <w:r>
        <w:lastRenderedPageBreak/>
        <w:t xml:space="preserve">Рисунок 6. </w:t>
      </w:r>
      <w:r>
        <w:rPr>
          <w:lang w:val="en-US"/>
        </w:rPr>
        <w:t>a</w:t>
      </w:r>
      <w:r>
        <w:t xml:space="preserve">-Коэффициенты корреляции между ГК и максимальной удельной скоростью роста  инициированных сообществ на полимерах б – взаиморасположение исследуемых природных сообществ кишечника, корма и экскрементов </w:t>
      </w:r>
      <w:proofErr w:type="spellStart"/>
      <w:r>
        <w:rPr>
          <w:i/>
          <w:iCs/>
        </w:rPr>
        <w:t>Cylindroiulus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caeruleocynctus</w:t>
      </w:r>
      <w:proofErr w:type="spellEnd"/>
      <w:r>
        <w:rPr>
          <w:iCs/>
        </w:rPr>
        <w:t xml:space="preserve"> в факторном пространстве ГК</w:t>
      </w:r>
      <w:proofErr w:type="gramStart"/>
      <w:r>
        <w:rPr>
          <w:iCs/>
        </w:rPr>
        <w:t>1</w:t>
      </w:r>
      <w:proofErr w:type="gramEnd"/>
      <w:r>
        <w:rPr>
          <w:iCs/>
        </w:rPr>
        <w:t xml:space="preserve"> и ГК2, рассчитанном по параметрам м</w:t>
      </w:r>
      <w:r>
        <w:t>аксимальная удельная скорость роста инициированных сообществ.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 w:firstLine="567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Корреляция между таксономическим разнообразием (на уровне штаммов) инициированного  сообщества, посчитанным на основании данных посева из ячеек </w:t>
      </w:r>
      <w:proofErr w:type="spellStart"/>
      <w:r>
        <w:rPr>
          <w:sz w:val="28"/>
          <w:szCs w:val="28"/>
        </w:rPr>
        <w:t>культуральных</w:t>
      </w:r>
      <w:proofErr w:type="spellEnd"/>
      <w:r>
        <w:rPr>
          <w:sz w:val="28"/>
          <w:szCs w:val="28"/>
        </w:rPr>
        <w:t xml:space="preserve"> планшет и экономическим коэффициентом, а также числом ступеней на кривой роста отсутствует (рисунок 7).</w: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both"/>
      </w:pPr>
      <w:r>
        <w:object w:dxaOrig="4496" w:dyaOrig="3370">
          <v:shape id="_x0000_i1057" type="#_x0000_t75" style="width:223.5pt;height:165.75pt" o:ole="">
            <v:imagedata r:id="rId72" o:title=""/>
          </v:shape>
          <o:OLEObject Type="Embed" ProgID="STATISTICA.Graph" ShapeID="_x0000_i1057" DrawAspect="Content" ObjectID="_1619823418" r:id="rId73">
            <o:FieldCodes>\s</o:FieldCodes>
          </o:OLEObject>
        </w:object>
      </w:r>
      <w:r>
        <w:object w:dxaOrig="4496" w:dyaOrig="3370">
          <v:shape id="_x0000_i1058" type="#_x0000_t75" style="width:223.5pt;height:165.75pt" o:ole="">
            <v:imagedata r:id="rId74" o:title=""/>
          </v:shape>
          <o:OLEObject Type="Embed" ProgID="STATISTICA.Graph" ShapeID="_x0000_i1058" DrawAspect="Content" ObjectID="_1619823419" r:id="rId75">
            <o:FieldCodes>\s</o:FieldCodes>
          </o:OLEObject>
        </w:object>
      </w: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  <w:r>
        <w:t>Рисунок 7. Сопоставление таксономического разнообразия с экономическим коэффициентом сообщества и с числом ступеней на кривой роста</w:t>
      </w:r>
    </w:p>
    <w:p w:rsidR="00524114" w:rsidRPr="007407B8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</w:pPr>
    </w:p>
    <w:p w:rsidR="00524114" w:rsidRDefault="00524114">
      <w:pPr>
        <w:pStyle w:val="ad"/>
        <w:tabs>
          <w:tab w:val="left" w:pos="-142"/>
          <w:tab w:val="center" w:pos="5600"/>
        </w:tabs>
        <w:spacing w:line="360" w:lineRule="auto"/>
        <w:ind w:left="170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2.5</w:t>
      </w:r>
      <w:r w:rsidR="00A267E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Разнообразие штаммов инициированных гидролитических бактериальных сообществ</w:t>
      </w:r>
    </w:p>
    <w:p w:rsidR="00524114" w:rsidRDefault="00524114">
      <w:pPr>
        <w:pStyle w:val="ad"/>
        <w:tabs>
          <w:tab w:val="left" w:pos="0"/>
          <w:tab w:val="left" w:pos="709"/>
          <w:tab w:val="center" w:pos="5600"/>
        </w:tabs>
        <w:spacing w:line="360" w:lineRule="auto"/>
        <w:ind w:left="1701"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итогам посева на чашки Петри из жидких селективных сред с полимерами были сделаны начальные выводы о </w:t>
      </w:r>
      <w:proofErr w:type="spellStart"/>
      <w:r>
        <w:rPr>
          <w:bCs/>
          <w:sz w:val="28"/>
          <w:szCs w:val="28"/>
        </w:rPr>
        <w:t>штаммовом</w:t>
      </w:r>
      <w:proofErr w:type="spellEnd"/>
      <w:r>
        <w:rPr>
          <w:bCs/>
          <w:sz w:val="28"/>
          <w:szCs w:val="28"/>
        </w:rPr>
        <w:t xml:space="preserve"> составе инициированных сообществ кишечника </w:t>
      </w:r>
      <w:r>
        <w:rPr>
          <w:bCs/>
          <w:i/>
          <w:sz w:val="28"/>
          <w:szCs w:val="28"/>
          <w:lang w:val="en-US"/>
        </w:rPr>
        <w:t>C</w:t>
      </w:r>
      <w:r>
        <w:rPr>
          <w:bCs/>
          <w:i/>
          <w:sz w:val="28"/>
          <w:szCs w:val="28"/>
        </w:rPr>
        <w:t xml:space="preserve">. </w:t>
      </w:r>
      <w:proofErr w:type="spellStart"/>
      <w:r>
        <w:rPr>
          <w:bCs/>
          <w:i/>
          <w:sz w:val="28"/>
          <w:szCs w:val="28"/>
          <w:lang w:val="en-US"/>
        </w:rPr>
        <w:t>caerulrocynctus</w:t>
      </w:r>
      <w:proofErr w:type="spellEnd"/>
      <w:r>
        <w:rPr>
          <w:bCs/>
          <w:sz w:val="28"/>
          <w:szCs w:val="28"/>
        </w:rPr>
        <w:t>.</w:t>
      </w:r>
    </w:p>
    <w:p w:rsidR="00524114" w:rsidRPr="007407B8" w:rsidRDefault="00524114">
      <w:pPr>
        <w:pStyle w:val="ad"/>
        <w:tabs>
          <w:tab w:val="left" w:pos="-142"/>
          <w:tab w:val="left" w:pos="0"/>
        </w:tabs>
        <w:spacing w:line="360" w:lineRule="auto"/>
        <w:ind w:left="170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Был осуществлен подсчет штаммов из общего числа выросших колоний с последующей частичной </w:t>
      </w:r>
      <w:r w:rsidR="00A267E0">
        <w:rPr>
          <w:bCs/>
          <w:sz w:val="28"/>
          <w:szCs w:val="28"/>
        </w:rPr>
        <w:t xml:space="preserve">идентификацией </w:t>
      </w:r>
      <w:r>
        <w:rPr>
          <w:bCs/>
          <w:sz w:val="28"/>
          <w:szCs w:val="28"/>
        </w:rPr>
        <w:t xml:space="preserve">по </w:t>
      </w:r>
      <w:proofErr w:type="spellStart"/>
      <w:r>
        <w:rPr>
          <w:bCs/>
          <w:sz w:val="28"/>
          <w:szCs w:val="28"/>
        </w:rPr>
        <w:t>культурально</w:t>
      </w:r>
      <w:proofErr w:type="spellEnd"/>
      <w:r>
        <w:rPr>
          <w:bCs/>
          <w:sz w:val="28"/>
          <w:szCs w:val="28"/>
        </w:rPr>
        <w:t xml:space="preserve">-морфологическим свойствам с </w:t>
      </w:r>
      <w:proofErr w:type="spellStart"/>
      <w:r>
        <w:rPr>
          <w:bCs/>
          <w:sz w:val="28"/>
          <w:szCs w:val="28"/>
        </w:rPr>
        <w:t>микроскопирование</w:t>
      </w:r>
      <w:r w:rsidR="00A267E0">
        <w:rPr>
          <w:bCs/>
          <w:sz w:val="28"/>
          <w:szCs w:val="28"/>
        </w:rPr>
        <w:t>м</w:t>
      </w:r>
      <w:proofErr w:type="spellEnd"/>
      <w:r>
        <w:rPr>
          <w:bCs/>
          <w:sz w:val="28"/>
          <w:szCs w:val="28"/>
        </w:rPr>
        <w:t xml:space="preserve"> при фазовом контрасте штаммов бактерий, формирующих колонии. Были исключены штаммы-двойники. Полученные результаты указаны в таблице 3. </w:t>
      </w:r>
    </w:p>
    <w:p w:rsidR="00524114" w:rsidRDefault="00524114">
      <w:pPr>
        <w:pStyle w:val="ad"/>
        <w:tabs>
          <w:tab w:val="left" w:pos="-142"/>
          <w:tab w:val="left" w:pos="567"/>
        </w:tabs>
        <w:spacing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Таблица 3. - Встречаемость различных бактериальных штаммов в инициированных сообществах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9"/>
        <w:gridCol w:w="2540"/>
        <w:gridCol w:w="4170"/>
      </w:tblGrid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Морфологические признаки колоний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Из среды с каким полимером выделен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Предварительная таксономическая характеристика штамма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Полупрозрачные, белые, слизистые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Кератин, целлюлоза, пектин, крахмал, </w:t>
            </w:r>
            <w:proofErr w:type="spellStart"/>
            <w:r>
              <w:rPr>
                <w:bCs/>
                <w:sz w:val="28"/>
                <w:szCs w:val="28"/>
              </w:rPr>
              <w:t>ксилан</w:t>
            </w:r>
            <w:proofErr w:type="spellEnd"/>
            <w:r>
              <w:rPr>
                <w:bCs/>
                <w:sz w:val="28"/>
                <w:szCs w:val="28"/>
              </w:rPr>
              <w:t xml:space="preserve">, инулин, декстран 500, </w:t>
            </w:r>
            <w:proofErr w:type="spellStart"/>
            <w:r>
              <w:rPr>
                <w:bCs/>
                <w:sz w:val="28"/>
                <w:szCs w:val="28"/>
              </w:rPr>
              <w:t>агароза</w:t>
            </w:r>
            <w:proofErr w:type="spellEnd"/>
            <w:r>
              <w:rPr>
                <w:bCs/>
                <w:sz w:val="28"/>
                <w:szCs w:val="28"/>
              </w:rPr>
              <w:t>, твин 20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Actinobacteria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Желтые, полупрозрачные, слизистые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То же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Pseudomonas sp.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Быстрорастущие, </w:t>
            </w:r>
            <w:proofErr w:type="spellStart"/>
            <w:r>
              <w:rPr>
                <w:bCs/>
                <w:sz w:val="28"/>
                <w:szCs w:val="28"/>
              </w:rPr>
              <w:t>слабоопалесцирующие</w:t>
            </w:r>
            <w:proofErr w:type="spellEnd"/>
            <w:r>
              <w:rPr>
                <w:bCs/>
                <w:sz w:val="28"/>
                <w:szCs w:val="28"/>
              </w:rPr>
              <w:t xml:space="preserve">, с фестончатым краем, </w:t>
            </w:r>
            <w:r>
              <w:rPr>
                <w:bCs/>
                <w:sz w:val="28"/>
                <w:szCs w:val="28"/>
              </w:rPr>
              <w:lastRenderedPageBreak/>
              <w:t>цвет от белого до желто-оранжевого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То же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  <w:lang w:val="en-US"/>
              </w:rPr>
              <w:t>Flavobact</w:t>
            </w:r>
            <w:proofErr w:type="spellEnd"/>
            <w:r>
              <w:rPr>
                <w:bCs/>
                <w:sz w:val="28"/>
                <w:szCs w:val="28"/>
              </w:rPr>
              <w:t>е</w:t>
            </w:r>
            <w:proofErr w:type="spellStart"/>
            <w:r>
              <w:rPr>
                <w:bCs/>
                <w:sz w:val="28"/>
                <w:szCs w:val="28"/>
                <w:lang w:val="en-US"/>
              </w:rPr>
              <w:t>riaceae</w:t>
            </w:r>
            <w:proofErr w:type="spellEnd"/>
            <w:r>
              <w:rPr>
                <w:bCs/>
                <w:sz w:val="28"/>
                <w:szCs w:val="28"/>
              </w:rPr>
              <w:t xml:space="preserve">, либо </w:t>
            </w:r>
            <w:proofErr w:type="spellStart"/>
            <w:r>
              <w:rPr>
                <w:bCs/>
                <w:sz w:val="28"/>
                <w:szCs w:val="28"/>
                <w:lang w:val="en-US"/>
              </w:rPr>
              <w:t>Sphyngobacteriaceae</w:t>
            </w:r>
            <w:proofErr w:type="spellEnd"/>
            <w:r>
              <w:rPr>
                <w:bCs/>
                <w:sz w:val="28"/>
                <w:szCs w:val="28"/>
              </w:rPr>
              <w:t xml:space="preserve">, присутствует агрегация типа </w:t>
            </w:r>
            <w:r>
              <w:rPr>
                <w:bCs/>
                <w:sz w:val="28"/>
                <w:szCs w:val="28"/>
              </w:rPr>
              <w:lastRenderedPageBreak/>
              <w:t>«вязанка дров»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Быстрорастущие ярко-желтые, выпуклые, слизистые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Кератин, целлюлоза, крахмал, </w:t>
            </w:r>
            <w:proofErr w:type="spellStart"/>
            <w:r>
              <w:rPr>
                <w:bCs/>
                <w:sz w:val="28"/>
                <w:szCs w:val="28"/>
              </w:rPr>
              <w:t>ксилан</w:t>
            </w:r>
            <w:proofErr w:type="spellEnd"/>
            <w:r>
              <w:rPr>
                <w:bCs/>
                <w:sz w:val="28"/>
                <w:szCs w:val="28"/>
              </w:rPr>
              <w:t xml:space="preserve">, инулин, декстран, </w:t>
            </w:r>
            <w:proofErr w:type="spellStart"/>
            <w:r>
              <w:rPr>
                <w:bCs/>
                <w:sz w:val="28"/>
                <w:szCs w:val="28"/>
              </w:rPr>
              <w:t>агароза</w:t>
            </w:r>
            <w:proofErr w:type="spellEnd"/>
            <w:r>
              <w:rPr>
                <w:bCs/>
                <w:sz w:val="28"/>
                <w:szCs w:val="28"/>
              </w:rPr>
              <w:t>, твин, нуклеиновая кислота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Коринеформные</w:t>
            </w:r>
            <w:proofErr w:type="spellEnd"/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Слабоопалесцирующие</w:t>
            </w:r>
            <w:proofErr w:type="spellEnd"/>
            <w:r>
              <w:rPr>
                <w:bCs/>
                <w:sz w:val="28"/>
                <w:szCs w:val="28"/>
              </w:rPr>
              <w:t xml:space="preserve"> полупрозрачные слизистые с расплывчатым краем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Инулин, декстран, нуклеиновая кислота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Proteobacteria </w:t>
            </w:r>
            <w:r>
              <w:rPr>
                <w:bCs/>
                <w:sz w:val="28"/>
                <w:szCs w:val="28"/>
              </w:rPr>
              <w:t xml:space="preserve">со </w:t>
            </w:r>
            <w:proofErr w:type="spellStart"/>
            <w:r>
              <w:rPr>
                <w:bCs/>
                <w:sz w:val="28"/>
                <w:szCs w:val="28"/>
              </w:rPr>
              <w:t>спириллярным</w:t>
            </w:r>
            <w:proofErr w:type="spellEnd"/>
            <w:r>
              <w:rPr>
                <w:bCs/>
                <w:sz w:val="28"/>
                <w:szCs w:val="28"/>
              </w:rPr>
              <w:t xml:space="preserve"> движением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Крупные плоские </w:t>
            </w:r>
            <w:proofErr w:type="spellStart"/>
            <w:r>
              <w:rPr>
                <w:bCs/>
                <w:sz w:val="28"/>
                <w:szCs w:val="28"/>
              </w:rPr>
              <w:t>слабоопалесцирующие</w:t>
            </w:r>
            <w:proofErr w:type="spellEnd"/>
            <w:r>
              <w:rPr>
                <w:bCs/>
                <w:sz w:val="28"/>
                <w:szCs w:val="28"/>
              </w:rPr>
              <w:t xml:space="preserve"> колонии бледно-желтого цвета 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Кератин, хитин, целлюлоза, крахмал, </w:t>
            </w:r>
            <w:proofErr w:type="spellStart"/>
            <w:r>
              <w:rPr>
                <w:bCs/>
                <w:sz w:val="28"/>
                <w:szCs w:val="28"/>
              </w:rPr>
              <w:t>ксилан</w:t>
            </w:r>
            <w:proofErr w:type="spellEnd"/>
            <w:r>
              <w:rPr>
                <w:bCs/>
                <w:sz w:val="28"/>
                <w:szCs w:val="28"/>
              </w:rPr>
              <w:t>, инулин, декстран 500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Flavobactеriaceae</w:t>
            </w:r>
            <w:proofErr w:type="spellEnd"/>
            <w:r>
              <w:rPr>
                <w:bCs/>
                <w:sz w:val="28"/>
                <w:szCs w:val="28"/>
              </w:rPr>
              <w:t xml:space="preserve">, либо </w:t>
            </w:r>
            <w:proofErr w:type="spellStart"/>
            <w:r>
              <w:rPr>
                <w:bCs/>
                <w:sz w:val="28"/>
                <w:szCs w:val="28"/>
              </w:rPr>
              <w:t>Sphyngobacteriaceae</w:t>
            </w:r>
            <w:proofErr w:type="spellEnd"/>
            <w:r>
              <w:rPr>
                <w:bCs/>
                <w:sz w:val="28"/>
                <w:szCs w:val="28"/>
              </w:rPr>
              <w:t xml:space="preserve">, с неясной агрегацией типа «вязанка дров»  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Быстрорастущие выпуклые желтоватые с фестончатым краем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Кератин, хитин, пектин, крахмал, </w:t>
            </w:r>
            <w:proofErr w:type="spellStart"/>
            <w:r>
              <w:rPr>
                <w:bCs/>
                <w:sz w:val="28"/>
                <w:szCs w:val="28"/>
              </w:rPr>
              <w:t>ксилан</w:t>
            </w:r>
            <w:proofErr w:type="spellEnd"/>
            <w:r>
              <w:rPr>
                <w:bCs/>
                <w:sz w:val="28"/>
                <w:szCs w:val="28"/>
              </w:rPr>
              <w:t xml:space="preserve">, декстран 500, </w:t>
            </w:r>
            <w:proofErr w:type="spellStart"/>
            <w:r>
              <w:rPr>
                <w:bCs/>
                <w:sz w:val="28"/>
                <w:szCs w:val="28"/>
              </w:rPr>
              <w:t>агароза</w:t>
            </w:r>
            <w:proofErr w:type="spellEnd"/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Коринеформные</w:t>
            </w:r>
            <w:proofErr w:type="spellEnd"/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Белые полупрозрачные слизистые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Кератин, пектин, крахмал, </w:t>
            </w:r>
            <w:proofErr w:type="spellStart"/>
            <w:r>
              <w:rPr>
                <w:bCs/>
                <w:sz w:val="28"/>
                <w:szCs w:val="28"/>
              </w:rPr>
              <w:t>ксилан</w:t>
            </w:r>
            <w:proofErr w:type="spellEnd"/>
            <w:r>
              <w:rPr>
                <w:bCs/>
                <w:sz w:val="28"/>
                <w:szCs w:val="28"/>
              </w:rPr>
              <w:t xml:space="preserve">, инулин, декстран 500, </w:t>
            </w:r>
            <w:proofErr w:type="spellStart"/>
            <w:r>
              <w:rPr>
                <w:bCs/>
                <w:sz w:val="28"/>
                <w:szCs w:val="28"/>
              </w:rPr>
              <w:t>агароза</w:t>
            </w:r>
            <w:proofErr w:type="spellEnd"/>
            <w:r>
              <w:rPr>
                <w:bCs/>
                <w:sz w:val="28"/>
                <w:szCs w:val="28"/>
              </w:rPr>
              <w:t>, твин 20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bCs/>
                <w:sz w:val="28"/>
                <w:szCs w:val="28"/>
                <w:lang w:val="en-US"/>
              </w:rPr>
              <w:t>Bacillaceae</w:t>
            </w:r>
            <w:proofErr w:type="spellEnd"/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Светло-оранжевые </w:t>
            </w:r>
            <w:r>
              <w:rPr>
                <w:bCs/>
                <w:sz w:val="28"/>
                <w:szCs w:val="28"/>
              </w:rPr>
              <w:lastRenderedPageBreak/>
              <w:t>слизистые с неоформленным краем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Крахмал, твин 20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Proteobacteria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Компактные слизистые желто-оранжевые колонии, неоднородные по интенсивности цвета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Кератин, хитин, целлюлоза, пектин, инулин, декстран 500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Предположительно</w:t>
            </w:r>
            <w:r>
              <w:rPr>
                <w:bCs/>
                <w:sz w:val="28"/>
                <w:szCs w:val="28"/>
                <w:lang w:val="en-US"/>
              </w:rPr>
              <w:t>,</w:t>
            </w:r>
            <w:proofErr w:type="spellStart"/>
            <w:r>
              <w:rPr>
                <w:bCs/>
                <w:sz w:val="28"/>
                <w:szCs w:val="28"/>
                <w:lang w:val="en-US"/>
              </w:rPr>
              <w:t>Xantomonas</w:t>
            </w:r>
            <w:proofErr w:type="spellEnd"/>
            <w:r>
              <w:rPr>
                <w:bCs/>
                <w:sz w:val="28"/>
                <w:szCs w:val="28"/>
                <w:lang w:val="en-US"/>
              </w:rPr>
              <w:t xml:space="preserve"> sp.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Слизистые колонии ярко-малинового цвета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Кератин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Тетрадообразующие</w:t>
            </w:r>
            <w:proofErr w:type="spellEnd"/>
            <w:r>
              <w:rPr>
                <w:bCs/>
                <w:sz w:val="28"/>
                <w:szCs w:val="28"/>
              </w:rPr>
              <w:t xml:space="preserve"> почковидные </w:t>
            </w:r>
            <w:r>
              <w:rPr>
                <w:bCs/>
                <w:sz w:val="28"/>
                <w:szCs w:val="28"/>
                <w:lang w:val="en-US"/>
              </w:rPr>
              <w:t>alpha</w:t>
            </w:r>
            <w:r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  <w:lang w:val="en-US"/>
              </w:rPr>
              <w:t>Proteobacteria</w:t>
            </w:r>
            <w:r>
              <w:rPr>
                <w:bCs/>
                <w:sz w:val="28"/>
                <w:szCs w:val="28"/>
              </w:rPr>
              <w:t xml:space="preserve">, либо </w:t>
            </w:r>
            <w:r>
              <w:rPr>
                <w:bCs/>
                <w:sz w:val="28"/>
                <w:szCs w:val="28"/>
                <w:lang w:val="en-US"/>
              </w:rPr>
              <w:t>Planctomycetes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Розовато-красные компактные морщинистые колонии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Кератин, хитин, пектин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bCs/>
                <w:sz w:val="28"/>
                <w:szCs w:val="28"/>
                <w:lang w:val="en-US"/>
              </w:rPr>
              <w:t>Arthrobacter</w:t>
            </w:r>
            <w:proofErr w:type="spellEnd"/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val="en-US"/>
              </w:rPr>
              <w:t>agilis</w:t>
            </w:r>
            <w:proofErr w:type="spellEnd"/>
            <w:r>
              <w:rPr>
                <w:bCs/>
                <w:sz w:val="28"/>
                <w:szCs w:val="28"/>
                <w:lang w:val="en-US"/>
              </w:rPr>
              <w:t xml:space="preserve"> strain DSM 20550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Слизистые колонии бледно-розового цвета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Казеин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alpha-Proteobacteria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Крупные </w:t>
            </w:r>
            <w:proofErr w:type="spellStart"/>
            <w:r>
              <w:rPr>
                <w:bCs/>
                <w:sz w:val="28"/>
                <w:szCs w:val="28"/>
              </w:rPr>
              <w:t>слабоопалесцирующие</w:t>
            </w:r>
            <w:proofErr w:type="spellEnd"/>
            <w:r>
              <w:rPr>
                <w:bCs/>
                <w:sz w:val="28"/>
                <w:szCs w:val="28"/>
              </w:rPr>
              <w:t xml:space="preserve"> колонии горчичного цвета с неровным краем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Крахмал, инулин, нуклеиновая кислота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Flavobactriaceae</w:t>
            </w:r>
            <w:proofErr w:type="spellEnd"/>
            <w:r>
              <w:rPr>
                <w:bCs/>
                <w:sz w:val="28"/>
                <w:szCs w:val="28"/>
              </w:rPr>
              <w:t xml:space="preserve">, либо </w:t>
            </w:r>
            <w:proofErr w:type="spellStart"/>
            <w:r>
              <w:rPr>
                <w:bCs/>
                <w:sz w:val="28"/>
                <w:szCs w:val="28"/>
              </w:rPr>
              <w:t>Sphyngobacteriaceae</w:t>
            </w:r>
            <w:proofErr w:type="spellEnd"/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Большая выпуклая ярко-желтая колония, образующая вязкое вещество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Казеин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Предположительно, </w:t>
            </w:r>
            <w:r>
              <w:rPr>
                <w:bCs/>
                <w:sz w:val="28"/>
                <w:szCs w:val="28"/>
                <w:lang w:val="en-US"/>
              </w:rPr>
              <w:t>Streptococcus sp.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Выпуклая колония с глубоким «кратером» и фестончатым краем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Хитин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Коринеформные</w:t>
            </w:r>
            <w:proofErr w:type="spellEnd"/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Ярко-белая компактная слизистая колония, </w:t>
            </w:r>
            <w:r>
              <w:rPr>
                <w:bCs/>
                <w:sz w:val="28"/>
                <w:szCs w:val="28"/>
              </w:rPr>
              <w:lastRenderedPageBreak/>
              <w:t>имеющая резкий кислый запах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Пектин, казеин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Неидентифицированный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бродильщик</w:t>
            </w:r>
            <w:proofErr w:type="spellEnd"/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Белые матовые компактные колонии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Инулин, нуклеиновая кислота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bCs/>
                <w:sz w:val="28"/>
                <w:szCs w:val="28"/>
                <w:lang w:val="en-US"/>
              </w:rPr>
              <w:t>Cellulomonodaceae</w:t>
            </w:r>
            <w:proofErr w:type="spellEnd"/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Белые полупрозрачные колонии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Инулин, нуклеиновая кислота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Pseudomonadaceae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Слизистая колония белого цвета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Хитин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bCs/>
                <w:sz w:val="28"/>
                <w:szCs w:val="28"/>
                <w:lang w:val="en-US"/>
              </w:rPr>
              <w:t>Actinobacteria</w:t>
            </w:r>
            <w:proofErr w:type="spellEnd"/>
            <w:r>
              <w:rPr>
                <w:bCs/>
                <w:sz w:val="28"/>
                <w:szCs w:val="28"/>
                <w:lang w:val="en-US"/>
              </w:rPr>
              <w:t xml:space="preserve"> (</w:t>
            </w:r>
            <w:r>
              <w:rPr>
                <w:bCs/>
                <w:sz w:val="28"/>
                <w:szCs w:val="28"/>
              </w:rPr>
              <w:t xml:space="preserve">предположительно, </w:t>
            </w:r>
            <w:proofErr w:type="spellStart"/>
            <w:r>
              <w:rPr>
                <w:bCs/>
                <w:sz w:val="28"/>
                <w:szCs w:val="28"/>
                <w:lang w:val="en-US"/>
              </w:rPr>
              <w:t>Rhodococcales</w:t>
            </w:r>
            <w:proofErr w:type="spellEnd"/>
            <w:r>
              <w:rPr>
                <w:bCs/>
                <w:sz w:val="28"/>
                <w:szCs w:val="28"/>
                <w:lang w:val="en-US"/>
              </w:rPr>
              <w:t>)</w:t>
            </w:r>
          </w:p>
        </w:tc>
      </w:tr>
      <w:tr w:rsidR="00524114">
        <w:tc>
          <w:tcPr>
            <w:tcW w:w="3510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Слизистые колонии бледно-желтого цвета</w:t>
            </w:r>
          </w:p>
        </w:tc>
        <w:tc>
          <w:tcPr>
            <w:tcW w:w="3261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Кератин</w:t>
            </w:r>
          </w:p>
        </w:tc>
        <w:tc>
          <w:tcPr>
            <w:tcW w:w="2693" w:type="dxa"/>
          </w:tcPr>
          <w:p w:rsidR="00524114" w:rsidRDefault="00524114">
            <w:pPr>
              <w:pStyle w:val="ad"/>
              <w:tabs>
                <w:tab w:val="left" w:pos="0"/>
              </w:tabs>
              <w:spacing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Flavobactriaceae</w:t>
            </w:r>
            <w:proofErr w:type="spellEnd"/>
            <w:r>
              <w:rPr>
                <w:bCs/>
                <w:sz w:val="28"/>
                <w:szCs w:val="28"/>
              </w:rPr>
              <w:t xml:space="preserve">, либо </w:t>
            </w:r>
            <w:proofErr w:type="spellStart"/>
            <w:r>
              <w:rPr>
                <w:bCs/>
                <w:sz w:val="28"/>
                <w:szCs w:val="28"/>
              </w:rPr>
              <w:t>Sphyngobacteriaceae</w:t>
            </w:r>
            <w:proofErr w:type="spellEnd"/>
          </w:p>
        </w:tc>
      </w:tr>
    </w:tbl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524114" w:rsidRDefault="00A267E0">
      <w:pPr>
        <w:pStyle w:val="ad"/>
        <w:tabs>
          <w:tab w:val="left" w:pos="540"/>
          <w:tab w:val="left" w:pos="2268"/>
          <w:tab w:val="center" w:pos="5600"/>
        </w:tabs>
        <w:spacing w:line="360" w:lineRule="auto"/>
        <w:ind w:left="170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24114">
        <w:rPr>
          <w:sz w:val="28"/>
          <w:szCs w:val="28"/>
        </w:rPr>
        <w:t>По итогам проведенного исследования можно</w:t>
      </w:r>
      <w:r>
        <w:rPr>
          <w:sz w:val="28"/>
          <w:szCs w:val="28"/>
        </w:rPr>
        <w:t xml:space="preserve"> </w:t>
      </w:r>
      <w:r w:rsidR="00524114">
        <w:rPr>
          <w:sz w:val="28"/>
          <w:szCs w:val="28"/>
        </w:rPr>
        <w:t>сформулировать следующие выводы.</w:t>
      </w:r>
    </w:p>
    <w:p w:rsidR="00524114" w:rsidRDefault="00524114">
      <w:pPr>
        <w:pStyle w:val="1"/>
        <w:numPr>
          <w:ilvl w:val="0"/>
          <w:numId w:val="22"/>
        </w:numPr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Культивируемая часть кишечного бактериального сообщества </w:t>
      </w:r>
      <w:proofErr w:type="spellStart"/>
      <w:r>
        <w:rPr>
          <w:i/>
          <w:iCs/>
          <w:sz w:val="28"/>
          <w:szCs w:val="28"/>
        </w:rPr>
        <w:t>Cylindroiulus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caeruleocynctus</w:t>
      </w:r>
      <w:proofErr w:type="spellEnd"/>
      <w:r>
        <w:rPr>
          <w:sz w:val="28"/>
          <w:szCs w:val="28"/>
        </w:rPr>
        <w:t xml:space="preserve"> отличается от состава сообществ свежих экскрементов и корма большей долей быстрорастущих бактерий с большим микробным экономическим коэффициентом.</w:t>
      </w:r>
    </w:p>
    <w:p w:rsidR="00524114" w:rsidRDefault="00524114">
      <w:pPr>
        <w:pStyle w:val="1"/>
        <w:numPr>
          <w:ilvl w:val="0"/>
          <w:numId w:val="22"/>
        </w:numPr>
        <w:spacing w:line="360" w:lineRule="auto"/>
        <w:ind w:left="170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Кишечное бактериальное сообщество более специализировано на разложение </w:t>
      </w:r>
      <w:proofErr w:type="spellStart"/>
      <w:r>
        <w:rPr>
          <w:sz w:val="28"/>
          <w:szCs w:val="28"/>
        </w:rPr>
        <w:t>трудноступных</w:t>
      </w:r>
      <w:proofErr w:type="spellEnd"/>
      <w:r>
        <w:rPr>
          <w:sz w:val="28"/>
          <w:szCs w:val="28"/>
        </w:rPr>
        <w:t xml:space="preserve"> полимеров корма, чем сообщество </w:t>
      </w:r>
      <w:proofErr w:type="spellStart"/>
      <w:r>
        <w:rPr>
          <w:sz w:val="28"/>
          <w:szCs w:val="28"/>
        </w:rPr>
        <w:t>опада</w:t>
      </w:r>
      <w:proofErr w:type="spellEnd"/>
      <w:r>
        <w:rPr>
          <w:sz w:val="28"/>
          <w:szCs w:val="28"/>
        </w:rPr>
        <w:t xml:space="preserve"> и экскрементов. </w:t>
      </w:r>
    </w:p>
    <w:p w:rsidR="00524114" w:rsidRDefault="00524114">
      <w:pPr>
        <w:pStyle w:val="1"/>
        <w:numPr>
          <w:ilvl w:val="0"/>
          <w:numId w:val="22"/>
        </w:numPr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Степень выраженности конкуренции за биополимеры в кишечнике московских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 существенно выше, чем у большинства вьетнамских многоножек, за исключением эпифита </w:t>
      </w:r>
      <w:proofErr w:type="spellStart"/>
      <w:r>
        <w:rPr>
          <w:i/>
          <w:iCs/>
          <w:sz w:val="28"/>
          <w:szCs w:val="28"/>
        </w:rPr>
        <w:t>Cryxus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ovalis</w:t>
      </w:r>
      <w:proofErr w:type="spellEnd"/>
    </w:p>
    <w:p w:rsidR="00524114" w:rsidRDefault="00524114">
      <w:pPr>
        <w:pStyle w:val="1"/>
        <w:numPr>
          <w:ilvl w:val="0"/>
          <w:numId w:val="22"/>
        </w:numPr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Трофическая специализация гидролитического культивируемого бактериального блока отличается от таковой у хищников и фитофагов большей ориентацией на разложение труднодоступных полисахаридов растительного происхождения. </w:t>
      </w:r>
    </w:p>
    <w:p w:rsidR="00524114" w:rsidRDefault="00524114">
      <w:pPr>
        <w:pStyle w:val="1"/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Таким образом, в ходе исследования все поставленные задачи были в той или иной мере решены, в связи с чем хочется выразить надежду, что тем самым был внесен некоторый вклад в изучение бактериальных сообществ кишечника многоножек.</w:t>
      </w: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Pr="0027668D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1"/>
        <w:ind w:left="1701"/>
        <w:rPr>
          <w:sz w:val="28"/>
          <w:szCs w:val="28"/>
        </w:rPr>
      </w:pP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center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center"/>
        <w:rPr>
          <w:sz w:val="28"/>
          <w:szCs w:val="28"/>
        </w:rPr>
      </w:pP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Бызов</w:t>
      </w:r>
      <w:proofErr w:type="spellEnd"/>
      <w:r>
        <w:rPr>
          <w:sz w:val="28"/>
          <w:szCs w:val="28"/>
        </w:rPr>
        <w:t xml:space="preserve"> Б.А. </w:t>
      </w:r>
      <w:proofErr w:type="spellStart"/>
      <w:r>
        <w:rPr>
          <w:sz w:val="28"/>
          <w:szCs w:val="28"/>
        </w:rPr>
        <w:t>Зоомикробные</w:t>
      </w:r>
      <w:proofErr w:type="spellEnd"/>
      <w:r>
        <w:rPr>
          <w:sz w:val="28"/>
          <w:szCs w:val="28"/>
        </w:rPr>
        <w:t xml:space="preserve"> взаимодействия в почве - М.: Изд-во ГЕОС, 2005 - С. 133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134, 145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151.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Гиляров М.С., Стриганова, Б.Р. Роль почвенных беспозвоночных в разложении растительных остатков и круговороте веществ // Зоология беспозвоночных. Почвенная зоология. - М., 1978, Т. 5. - С. 8 - 69.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Зырин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Н.Г., Орлов Д.С. Физико-химические методы исследования почв. М.: Изд-во </w:t>
      </w:r>
      <w:proofErr w:type="spellStart"/>
      <w:r>
        <w:rPr>
          <w:sz w:val="28"/>
          <w:szCs w:val="28"/>
        </w:rPr>
        <w:t>Моск</w:t>
      </w:r>
      <w:proofErr w:type="spellEnd"/>
      <w:r>
        <w:rPr>
          <w:sz w:val="28"/>
          <w:szCs w:val="28"/>
        </w:rPr>
        <w:t>.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ун-та, 1964. – 348с.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Козловская Л.С. Роль почвенных беспозвоночных в трансформации органического вещества болотных почв. – М.: Изд-во Наука, 1976.- 212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Курчева</w:t>
      </w:r>
      <w:proofErr w:type="spellEnd"/>
      <w:r>
        <w:rPr>
          <w:sz w:val="28"/>
          <w:szCs w:val="28"/>
        </w:rPr>
        <w:t xml:space="preserve"> Г.Ф. Роль почвенных животных в разложении и гумификации растительных остатков. - М.: Изд-во Наука, 1971. -154с.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Кожевин П.А. Микробные популяции в природе. - М.: Изд-во </w:t>
      </w:r>
      <w:proofErr w:type="spellStart"/>
      <w:r>
        <w:rPr>
          <w:sz w:val="28"/>
          <w:szCs w:val="28"/>
        </w:rPr>
        <w:t>Моск</w:t>
      </w:r>
      <w:proofErr w:type="spellEnd"/>
      <w:r>
        <w:rPr>
          <w:sz w:val="28"/>
          <w:szCs w:val="28"/>
        </w:rPr>
        <w:t>. ун-та, 1989. - С. 111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116.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Паников</w:t>
      </w:r>
      <w:proofErr w:type="spellEnd"/>
      <w:r>
        <w:rPr>
          <w:sz w:val="28"/>
          <w:szCs w:val="28"/>
        </w:rPr>
        <w:t xml:space="preserve"> Н.С. Кинетика роста микроорганизмов. Общие закономерности и экологические приложения.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– М.: Изд-во Наука, 1992. - С. 80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87, 235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240.</w:t>
      </w:r>
    </w:p>
    <w:p w:rsidR="00524114" w:rsidRDefault="00524114">
      <w:pPr>
        <w:numPr>
          <w:ilvl w:val="0"/>
          <w:numId w:val="17"/>
        </w:numPr>
        <w:spacing w:line="360" w:lineRule="auto"/>
        <w:ind w:left="1701"/>
        <w:rPr>
          <w:sz w:val="28"/>
          <w:szCs w:val="28"/>
        </w:rPr>
      </w:pPr>
      <w:proofErr w:type="spellStart"/>
      <w:r>
        <w:rPr>
          <w:sz w:val="28"/>
          <w:szCs w:val="28"/>
        </w:rPr>
        <w:t>Паников</w:t>
      </w:r>
      <w:proofErr w:type="spellEnd"/>
      <w:r>
        <w:rPr>
          <w:sz w:val="28"/>
          <w:szCs w:val="28"/>
        </w:rPr>
        <w:t xml:space="preserve"> Н.С., Горбенко А.Ю. и др. Количественная оценка влияния </w:t>
      </w:r>
      <w:proofErr w:type="spellStart"/>
      <w:r>
        <w:rPr>
          <w:sz w:val="28"/>
          <w:szCs w:val="28"/>
        </w:rPr>
        <w:t>мезофауны</w:t>
      </w:r>
      <w:proofErr w:type="spellEnd"/>
      <w:r>
        <w:rPr>
          <w:sz w:val="28"/>
          <w:szCs w:val="28"/>
        </w:rPr>
        <w:t xml:space="preserve"> на скорость разложения растительного </w:t>
      </w:r>
      <w:proofErr w:type="spellStart"/>
      <w:r>
        <w:rPr>
          <w:sz w:val="28"/>
          <w:szCs w:val="28"/>
        </w:rPr>
        <w:t>опада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Вестн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Моск</w:t>
      </w:r>
      <w:proofErr w:type="spellEnd"/>
      <w:r>
        <w:rPr>
          <w:sz w:val="28"/>
          <w:szCs w:val="28"/>
        </w:rPr>
        <w:t xml:space="preserve">. </w:t>
      </w:r>
      <w:r w:rsidR="00A267E0">
        <w:rPr>
          <w:sz w:val="28"/>
          <w:szCs w:val="28"/>
        </w:rPr>
        <w:t>у</w:t>
      </w:r>
      <w:r>
        <w:rPr>
          <w:sz w:val="28"/>
          <w:szCs w:val="28"/>
        </w:rPr>
        <w:t>н-та. – Сер. Почвоведение. – 1985. - №3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 С. 37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45.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Перт </w:t>
      </w:r>
      <w:proofErr w:type="spellStart"/>
      <w:r>
        <w:rPr>
          <w:sz w:val="28"/>
          <w:szCs w:val="28"/>
        </w:rPr>
        <w:t>С.Дж</w:t>
      </w:r>
      <w:proofErr w:type="spellEnd"/>
      <w:r>
        <w:rPr>
          <w:sz w:val="28"/>
          <w:szCs w:val="28"/>
        </w:rPr>
        <w:t>. Основы культивирования микроорганизмов и клеток / С.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Дж. Перт – М.: Изд-во Мир, 1978. - С. 14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39.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Покаржевский</w:t>
      </w:r>
      <w:proofErr w:type="spellEnd"/>
      <w:r>
        <w:rPr>
          <w:sz w:val="28"/>
          <w:szCs w:val="28"/>
        </w:rPr>
        <w:t xml:space="preserve"> А.Д. Концептуальная модель миграции веществ в сообществах почвенных животных.// Почвенная фауна Северной Европы. – М.: Изд-во Наука, 1987. - С. 34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67E0">
        <w:rPr>
          <w:sz w:val="28"/>
          <w:szCs w:val="28"/>
        </w:rPr>
        <w:t xml:space="preserve"> </w:t>
      </w:r>
      <w:r>
        <w:rPr>
          <w:sz w:val="28"/>
          <w:szCs w:val="28"/>
        </w:rPr>
        <w:t>37.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Стебаев</w:t>
      </w:r>
      <w:proofErr w:type="spellEnd"/>
      <w:r>
        <w:rPr>
          <w:sz w:val="28"/>
          <w:szCs w:val="28"/>
        </w:rPr>
        <w:t xml:space="preserve"> И.В. </w:t>
      </w:r>
      <w:proofErr w:type="spellStart"/>
      <w:r>
        <w:rPr>
          <w:sz w:val="28"/>
          <w:szCs w:val="28"/>
        </w:rPr>
        <w:t>Зоомикробиологические</w:t>
      </w:r>
      <w:proofErr w:type="spellEnd"/>
      <w:r>
        <w:rPr>
          <w:sz w:val="28"/>
          <w:szCs w:val="28"/>
        </w:rPr>
        <w:t xml:space="preserve"> комплексы в биогеоценозах. // Почвенные организмы как компоненты биогеоценоза, М.: Изд-во Наука, 1984. - С. 31.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Семенюк</w:t>
      </w:r>
      <w:proofErr w:type="spellEnd"/>
      <w:r>
        <w:rPr>
          <w:sz w:val="28"/>
          <w:szCs w:val="28"/>
        </w:rPr>
        <w:t xml:space="preserve"> И.И. Трофическая и топическая специализация </w:t>
      </w:r>
      <w:proofErr w:type="spellStart"/>
      <w:r>
        <w:rPr>
          <w:sz w:val="28"/>
          <w:szCs w:val="28"/>
        </w:rPr>
        <w:t>диплопод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Diplopoda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Myriapoda</w:t>
      </w:r>
      <w:proofErr w:type="spellEnd"/>
      <w:r>
        <w:rPr>
          <w:sz w:val="28"/>
          <w:szCs w:val="28"/>
        </w:rPr>
        <w:t xml:space="preserve">) как механизм поддержания видового разнообразия </w:t>
      </w:r>
      <w:proofErr w:type="spellStart"/>
      <w:r>
        <w:rPr>
          <w:sz w:val="28"/>
          <w:szCs w:val="28"/>
        </w:rPr>
        <w:t>таксоцена</w:t>
      </w:r>
      <w:proofErr w:type="spellEnd"/>
      <w:r>
        <w:rPr>
          <w:sz w:val="28"/>
          <w:szCs w:val="28"/>
        </w:rPr>
        <w:t xml:space="preserve">. Автореферат </w:t>
      </w:r>
      <w:proofErr w:type="spellStart"/>
      <w:r>
        <w:rPr>
          <w:sz w:val="28"/>
          <w:szCs w:val="28"/>
        </w:rPr>
        <w:t>Дис</w:t>
      </w:r>
      <w:proofErr w:type="spellEnd"/>
      <w:proofErr w:type="gramStart"/>
      <w:r>
        <w:rPr>
          <w:sz w:val="28"/>
          <w:szCs w:val="28"/>
        </w:rPr>
        <w:t>…</w:t>
      </w:r>
      <w:r w:rsidR="0026544A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канд. биол. наук. М., 2012. - 24 с.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Уиттекер</w:t>
      </w:r>
      <w:proofErr w:type="spellEnd"/>
      <w:r>
        <w:rPr>
          <w:sz w:val="28"/>
          <w:szCs w:val="28"/>
        </w:rPr>
        <w:t xml:space="preserve"> Р.Х. Сообщества и экосистемы, М.: Изд-во Прогресс 1975. – 326 с.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Якушев А.В. Комплексный структурно-функциональный метод характеристики микробных популяций //Почвоведение, 2015. № 4. С. 429</w:t>
      </w:r>
      <w:r w:rsidR="0026544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26544A">
        <w:rPr>
          <w:sz w:val="28"/>
          <w:szCs w:val="28"/>
        </w:rPr>
        <w:t xml:space="preserve"> </w:t>
      </w:r>
      <w:r>
        <w:rPr>
          <w:sz w:val="28"/>
          <w:szCs w:val="28"/>
        </w:rPr>
        <w:t>446.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Alagesan</w:t>
      </w:r>
      <w:proofErr w:type="spellEnd"/>
      <w:r>
        <w:rPr>
          <w:sz w:val="28"/>
          <w:szCs w:val="28"/>
          <w:lang w:val="en-US"/>
        </w:rPr>
        <w:t xml:space="preserve"> P. et al. Isolation and characterization of gut bacteria of millipede, </w:t>
      </w:r>
      <w:proofErr w:type="spellStart"/>
      <w:r>
        <w:rPr>
          <w:i/>
          <w:iCs/>
          <w:sz w:val="28"/>
          <w:szCs w:val="28"/>
          <w:lang w:val="en-US"/>
        </w:rPr>
        <w:t>Xenobolus</w:t>
      </w:r>
      <w:proofErr w:type="spellEnd"/>
      <w:r>
        <w:rPr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i/>
          <w:iCs/>
          <w:sz w:val="28"/>
          <w:szCs w:val="28"/>
          <w:lang w:val="en-US"/>
        </w:rPr>
        <w:t>carnifex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  <w:lang w:val="en-US"/>
        </w:rPr>
        <w:t>Fabricius</w:t>
      </w:r>
      <w:proofErr w:type="spellEnd"/>
      <w:r>
        <w:rPr>
          <w:sz w:val="28"/>
          <w:szCs w:val="28"/>
          <w:lang w:val="en-US"/>
        </w:rPr>
        <w:t>) //Indian Journal of Microbiology Vol 43, № 2, June 2003, pp 111-113.</w:t>
      </w:r>
    </w:p>
    <w:p w:rsidR="00524114" w:rsidRDefault="00524114">
      <w:pPr>
        <w:pStyle w:val="ad"/>
        <w:numPr>
          <w:ilvl w:val="0"/>
          <w:numId w:val="17"/>
        </w:numPr>
        <w:tabs>
          <w:tab w:val="center" w:pos="0"/>
        </w:tabs>
        <w:spacing w:line="360" w:lineRule="auto"/>
        <w:ind w:left="1701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Anbarasan</w:t>
      </w:r>
      <w:proofErr w:type="spellEnd"/>
      <w:r>
        <w:rPr>
          <w:sz w:val="28"/>
          <w:szCs w:val="28"/>
          <w:lang w:val="en-US"/>
        </w:rPr>
        <w:t xml:space="preserve"> D., </w:t>
      </w:r>
      <w:proofErr w:type="spellStart"/>
      <w:r>
        <w:rPr>
          <w:sz w:val="28"/>
          <w:szCs w:val="28"/>
          <w:lang w:val="en-US"/>
        </w:rPr>
        <w:t>Alagesan</w:t>
      </w:r>
      <w:proofErr w:type="spellEnd"/>
      <w:r>
        <w:rPr>
          <w:sz w:val="28"/>
          <w:szCs w:val="28"/>
          <w:lang w:val="en-US"/>
        </w:rPr>
        <w:t xml:space="preserve"> P. Millipedes as Host for Microbes – A Review //International Journal of Microbiological Researches 8 (1): 19-24, 2017.</w:t>
      </w:r>
    </w:p>
    <w:p w:rsidR="00524114" w:rsidRDefault="00524114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1701" w:right="-154"/>
        <w:rPr>
          <w:rFonts w:eastAsia="SimSun"/>
          <w:sz w:val="28"/>
          <w:szCs w:val="28"/>
          <w:lang w:val="en-US" w:eastAsia="zh-CN"/>
        </w:rPr>
      </w:pPr>
      <w:r>
        <w:rPr>
          <w:rFonts w:eastAsia="SimSun"/>
          <w:sz w:val="28"/>
          <w:szCs w:val="28"/>
          <w:lang w:val="en-US" w:eastAsia="zh-CN"/>
        </w:rPr>
        <w:t xml:space="preserve">Knapp B.A. et al. Bacterial Community Composition of the Gut Microbiota of </w:t>
      </w:r>
      <w:proofErr w:type="spellStart"/>
      <w:r>
        <w:rPr>
          <w:rFonts w:eastAsia="SimSun"/>
          <w:i/>
          <w:iCs/>
          <w:sz w:val="28"/>
          <w:szCs w:val="28"/>
          <w:lang w:val="en-US" w:eastAsia="zh-CN"/>
        </w:rPr>
        <w:t>Cylindroiulus</w:t>
      </w:r>
      <w:proofErr w:type="spellEnd"/>
      <w:r>
        <w:rPr>
          <w:rFonts w:eastAsia="SimSun"/>
          <w:i/>
          <w:iCs/>
          <w:sz w:val="28"/>
          <w:szCs w:val="28"/>
          <w:lang w:val="en-US" w:eastAsia="zh-CN"/>
        </w:rPr>
        <w:t xml:space="preserve"> </w:t>
      </w:r>
      <w:proofErr w:type="spellStart"/>
      <w:r>
        <w:rPr>
          <w:rFonts w:eastAsia="SimSun"/>
          <w:i/>
          <w:iCs/>
          <w:sz w:val="28"/>
          <w:szCs w:val="28"/>
          <w:lang w:val="en-US" w:eastAsia="zh-CN"/>
        </w:rPr>
        <w:t>fulviceps</w:t>
      </w:r>
      <w:proofErr w:type="spellEnd"/>
      <w:r>
        <w:rPr>
          <w:rFonts w:eastAsia="SimSun"/>
          <w:i/>
          <w:iCs/>
          <w:sz w:val="28"/>
          <w:szCs w:val="28"/>
          <w:lang w:val="en-US" w:eastAsia="zh-CN"/>
        </w:rPr>
        <w:t xml:space="preserve"> </w:t>
      </w:r>
      <w:r>
        <w:rPr>
          <w:rFonts w:eastAsia="SimSun"/>
          <w:sz w:val="28"/>
          <w:szCs w:val="28"/>
          <w:lang w:val="en-US" w:eastAsia="zh-CN"/>
        </w:rPr>
        <w:t>(</w:t>
      </w:r>
      <w:proofErr w:type="spellStart"/>
      <w:r>
        <w:rPr>
          <w:rFonts w:eastAsia="SimSun"/>
          <w:sz w:val="28"/>
          <w:szCs w:val="28"/>
          <w:lang w:val="en-US" w:eastAsia="zh-CN"/>
        </w:rPr>
        <w:t>Diplopoda</w:t>
      </w:r>
      <w:proofErr w:type="spellEnd"/>
      <w:r>
        <w:rPr>
          <w:rFonts w:eastAsia="SimSun"/>
          <w:sz w:val="28"/>
          <w:szCs w:val="28"/>
          <w:lang w:val="en-US" w:eastAsia="zh-CN"/>
        </w:rPr>
        <w:t xml:space="preserve">) as </w:t>
      </w:r>
      <w:proofErr w:type="spellStart"/>
      <w:r>
        <w:rPr>
          <w:rFonts w:eastAsia="SimSun"/>
          <w:sz w:val="28"/>
          <w:szCs w:val="28"/>
          <w:lang w:val="en-US" w:eastAsia="zh-CN"/>
        </w:rPr>
        <w:t>Revealedby</w:t>
      </w:r>
      <w:proofErr w:type="spellEnd"/>
      <w:r>
        <w:rPr>
          <w:rFonts w:eastAsia="SimSun"/>
          <w:sz w:val="28"/>
          <w:szCs w:val="28"/>
          <w:lang w:val="en-US" w:eastAsia="zh-CN"/>
        </w:rPr>
        <w:t xml:space="preserve"> Molecular Fingerprinting and Cloning, 2010.</w:t>
      </w:r>
    </w:p>
    <w:p w:rsidR="00524114" w:rsidRDefault="00524114">
      <w:pPr>
        <w:pStyle w:val="ad"/>
        <w:numPr>
          <w:ilvl w:val="0"/>
          <w:numId w:val="17"/>
        </w:numPr>
        <w:spacing w:line="360" w:lineRule="auto"/>
        <w:ind w:left="1701"/>
        <w:rPr>
          <w:sz w:val="28"/>
          <w:lang w:val="en-US" w:eastAsia="zh-CN"/>
        </w:rPr>
      </w:pPr>
      <w:proofErr w:type="spellStart"/>
      <w:r>
        <w:rPr>
          <w:sz w:val="28"/>
          <w:lang w:val="en-US" w:eastAsia="zh-CN"/>
        </w:rPr>
        <w:t>Nardi</w:t>
      </w:r>
      <w:proofErr w:type="spellEnd"/>
      <w:r>
        <w:rPr>
          <w:sz w:val="28"/>
          <w:lang w:val="en-US" w:eastAsia="zh-CN"/>
        </w:rPr>
        <w:t xml:space="preserve"> J. B. et al. </w:t>
      </w:r>
      <w:r>
        <w:rPr>
          <w:sz w:val="28"/>
          <w:szCs w:val="28"/>
          <w:lang w:val="en-US" w:eastAsia="zh-CN"/>
        </w:rPr>
        <w:t>Compartmentalization of microbial communities that inhabit the hindguts of millipedes //Arthropod Structure &amp; Development Vol 45 (2016), pp 462-474.</w:t>
      </w:r>
    </w:p>
    <w:p w:rsidR="00524114" w:rsidRPr="0027668D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Pr="0027668D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Pr="0027668D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524114" w:rsidRPr="007407B8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sz w:val="28"/>
          <w:szCs w:val="28"/>
          <w:lang w:val="en-US"/>
        </w:rPr>
      </w:pPr>
    </w:p>
    <w:p w:rsidR="0026544A" w:rsidRDefault="0026544A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bCs/>
          <w:sz w:val="28"/>
          <w:szCs w:val="28"/>
        </w:rPr>
      </w:pPr>
    </w:p>
    <w:p w:rsidR="00524114" w:rsidRPr="00142AC2" w:rsidRDefault="00524114">
      <w:pPr>
        <w:pStyle w:val="ad"/>
        <w:tabs>
          <w:tab w:val="left" w:pos="540"/>
          <w:tab w:val="center" w:pos="5600"/>
        </w:tabs>
        <w:spacing w:line="360" w:lineRule="auto"/>
        <w:ind w:left="170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</w: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  <w:r w:rsidRPr="00142AC2">
        <w:rPr>
          <w:sz w:val="28"/>
          <w:szCs w:val="28"/>
        </w:rPr>
        <w:tab/>
      </w:r>
      <w:r>
        <w:rPr>
          <w:sz w:val="28"/>
          <w:szCs w:val="28"/>
        </w:rPr>
        <w:t>Кривые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роста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отмирания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инициированных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гидролитических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бактериальных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сообществ</w:t>
      </w:r>
      <w:r w:rsidRPr="00142AC2">
        <w:rPr>
          <w:sz w:val="28"/>
          <w:szCs w:val="28"/>
        </w:rPr>
        <w:t xml:space="preserve"> (</w:t>
      </w:r>
      <w:r>
        <w:rPr>
          <w:sz w:val="28"/>
          <w:szCs w:val="28"/>
        </w:rPr>
        <w:t>смешанных</w:t>
      </w:r>
      <w:r w:rsidRPr="00142AC2"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периодических культур бактерий), сформировавшихся в жидких селективных средах с полимерами после внесения в них суспензии исследуемых образцов.</w: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335" w:dyaOrig="3209">
          <v:shape id="_x0000_i1059" type="#_x0000_t75" style="width:3in;height:158.25pt" o:ole="">
            <v:imagedata r:id="rId76" o:title=""/>
          </v:shape>
          <o:OLEObject Type="Embed" ProgID="STATISTICA.Graph" ShapeID="_x0000_i1059" DrawAspect="Content" ObjectID="_1619823420" r:id="rId77">
            <o:FieldCodes>\s</o:FieldCodes>
          </o:OLEObject>
        </w:object>
      </w:r>
      <w:r>
        <w:object w:dxaOrig="4675" w:dyaOrig="3505">
          <v:shape id="_x0000_i1060" type="#_x0000_t75" style="width:230.25pt;height:172.5pt" o:ole="">
            <v:imagedata r:id="rId78" o:title=""/>
          </v:shape>
          <o:OLEObject Type="Embed" ProgID="STATISTICA.Graph" ShapeID="_x0000_i1060" DrawAspect="Content" ObjectID="_1619823421" r:id="rId79">
            <o:FieldCodes>\s</o:FieldCodes>
          </o:OLEObject>
        </w:object>
      </w:r>
      <w:r>
        <w:object w:dxaOrig="4793" w:dyaOrig="3594">
          <v:shape id="_x0000_i1061" type="#_x0000_t75" style="width:237.75pt;height:180pt" o:ole="">
            <v:imagedata r:id="rId80" o:title=""/>
          </v:shape>
          <o:OLEObject Type="Embed" ProgID="STATISTICA.Graph" ShapeID="_x0000_i1061" DrawAspect="Content" ObjectID="_1619823422" r:id="rId81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675" w:dyaOrig="3512">
          <v:shape id="_x0000_i1062" type="#_x0000_t75" style="width:230.25pt;height:172.5pt" o:ole="">
            <v:imagedata r:id="rId82" o:title=""/>
          </v:shape>
          <o:OLEObject Type="Embed" ProgID="STATISTICA.Graph" ShapeID="_x0000_i1062" DrawAspect="Content" ObjectID="_1619823423" r:id="rId83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675" w:dyaOrig="3500">
          <v:shape id="_x0000_i1063" type="#_x0000_t75" style="width:230.25pt;height:172.5pt" o:ole="">
            <v:imagedata r:id="rId84" o:title=""/>
          </v:shape>
          <o:OLEObject Type="Embed" ProgID="STATISTICA.Graph" ShapeID="_x0000_i1063" DrawAspect="Content" ObjectID="_1619823424" r:id="rId85">
            <o:FieldCodes>\s</o:FieldCodes>
          </o:OLEObject>
        </w:object>
      </w:r>
      <w:r>
        <w:object w:dxaOrig="4681" w:dyaOrig="3510">
          <v:shape id="_x0000_i1064" type="#_x0000_t75" style="width:237.75pt;height:172.5pt" o:ole="">
            <v:imagedata r:id="rId86" o:title=""/>
          </v:shape>
          <o:OLEObject Type="Embed" ProgID="STATISTICA.Graph" ShapeID="_x0000_i1064" DrawAspect="Content" ObjectID="_1619823425" r:id="rId87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675" w:dyaOrig="3505">
          <v:shape id="_x0000_i1065" type="#_x0000_t75" style="width:230.25pt;height:172.5pt" o:ole="">
            <v:imagedata r:id="rId88" o:title=""/>
          </v:shape>
          <o:OLEObject Type="Embed" ProgID="STATISTICA.Graph" ShapeID="_x0000_i1065" DrawAspect="Content" ObjectID="_1619823426" r:id="rId89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496" w:dyaOrig="3370">
          <v:shape id="_x0000_i1066" type="#_x0000_t75" style="width:223.5pt;height:165.75pt" o:ole="">
            <v:imagedata r:id="rId90" o:title=""/>
          </v:shape>
          <o:OLEObject Type="Embed" ProgID="STATISTICA.Graph" ShapeID="_x0000_i1066" DrawAspect="Content" ObjectID="_1619823427" r:id="rId91">
            <o:FieldCodes>\s</o:FieldCodes>
          </o:OLEObject>
        </w:object>
      </w:r>
      <w:r>
        <w:object w:dxaOrig="4675" w:dyaOrig="3505">
          <v:shape id="_x0000_i1067" type="#_x0000_t75" style="width:230.25pt;height:172.5pt" o:ole="">
            <v:imagedata r:id="rId92" o:title=""/>
          </v:shape>
          <o:OLEObject Type="Embed" ProgID="STATISTICA.Graph" ShapeID="_x0000_i1067" DrawAspect="Content" ObjectID="_1619823428" r:id="rId93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683" w:dyaOrig="3513">
          <v:shape id="_x0000_i1068" type="#_x0000_t75" style="width:230.25pt;height:172.5pt" o:ole="">
            <v:imagedata r:id="rId94" o:title=""/>
          </v:shape>
          <o:OLEObject Type="Embed" ProgID="STATISTICA.Graph" ShapeID="_x0000_i1068" DrawAspect="Content" ObjectID="_1619823429" r:id="rId95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496" w:dyaOrig="3370">
          <v:shape id="_x0000_i1069" type="#_x0000_t75" style="width:223.5pt;height:165.75pt" o:ole="">
            <v:imagedata r:id="rId96" o:title=""/>
          </v:shape>
          <o:OLEObject Type="Embed" ProgID="STATISTICA.Graph" ShapeID="_x0000_i1069" DrawAspect="Content" ObjectID="_1619823430" r:id="rId97">
            <o:FieldCodes>\s</o:FieldCodes>
          </o:OLEObject>
        </w:object>
      </w:r>
      <w:r>
        <w:object w:dxaOrig="4683" w:dyaOrig="3513">
          <v:shape id="_x0000_i1070" type="#_x0000_t75" style="width:230.25pt;height:172.5pt" o:ole="">
            <v:imagedata r:id="rId98" o:title=""/>
          </v:shape>
          <o:OLEObject Type="Embed" ProgID="STATISTICA.Graph" ShapeID="_x0000_i1070" DrawAspect="Content" ObjectID="_1619823431" r:id="rId99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496" w:dyaOrig="3370">
          <v:shape id="_x0000_i1071" type="#_x0000_t75" style="width:223.5pt;height:165.75pt" o:ole="">
            <v:imagedata r:id="rId100" o:title=""/>
          </v:shape>
          <o:OLEObject Type="Embed" ProgID="STATISTICA.Graph" ShapeID="_x0000_i1071" DrawAspect="Content" ObjectID="_1619823432" r:id="rId101">
            <o:FieldCodes>\s</o:FieldCodes>
          </o:OLEObject>
        </w:object>
      </w:r>
      <w:r>
        <w:object w:dxaOrig="4496" w:dyaOrig="3370">
          <v:shape id="_x0000_i1072" type="#_x0000_t75" style="width:223.5pt;height:165.75pt" o:ole="">
            <v:imagedata r:id="rId102" o:title=""/>
          </v:shape>
          <o:OLEObject Type="Embed" ProgID="STATISTICA.Graph" ShapeID="_x0000_i1072" DrawAspect="Content" ObjectID="_1619823433" r:id="rId103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496" w:dyaOrig="3370">
          <v:shape id="_x0000_i1073" type="#_x0000_t75" style="width:223.5pt;height:165.75pt" o:ole="">
            <v:imagedata r:id="rId104" o:title=""/>
          </v:shape>
          <o:OLEObject Type="Embed" ProgID="STATISTICA.Graph" ShapeID="_x0000_i1073" DrawAspect="Content" ObjectID="_1619823434" r:id="rId105">
            <o:FieldCodes>\s</o:FieldCodes>
          </o:OLEObject>
        </w:object>
      </w:r>
      <w:r>
        <w:object w:dxaOrig="4496" w:dyaOrig="3370">
          <v:shape id="_x0000_i1074" type="#_x0000_t75" style="width:223.5pt;height:165.75pt" o:ole="">
            <v:imagedata r:id="rId106" o:title=""/>
          </v:shape>
          <o:OLEObject Type="Embed" ProgID="STATISTICA.Graph" ShapeID="_x0000_i1074" DrawAspect="Content" ObjectID="_1619823435" r:id="rId107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496" w:dyaOrig="3370">
          <v:shape id="_x0000_i1075" type="#_x0000_t75" style="width:223.5pt;height:165.75pt" o:ole="">
            <v:imagedata r:id="rId108" o:title=""/>
          </v:shape>
          <o:OLEObject Type="Embed" ProgID="STATISTICA.Graph" ShapeID="_x0000_i1075" DrawAspect="Content" ObjectID="_1619823436" r:id="rId109">
            <o:FieldCodes>\s</o:FieldCodes>
          </o:OLEObject>
        </w:object>
      </w:r>
      <w:r>
        <w:object w:dxaOrig="4496" w:dyaOrig="3370">
          <v:shape id="_x0000_i1076" type="#_x0000_t75" style="width:223.5pt;height:165.75pt" o:ole="">
            <v:imagedata r:id="rId110" o:title=""/>
          </v:shape>
          <o:OLEObject Type="Embed" ProgID="STATISTICA.Graph" ShapeID="_x0000_i1076" DrawAspect="Content" ObjectID="_1619823437" r:id="rId111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496" w:dyaOrig="3370">
          <v:shape id="_x0000_i1077" type="#_x0000_t75" style="width:223.5pt;height:165.75pt" o:ole="">
            <v:imagedata r:id="rId112" o:title=""/>
          </v:shape>
          <o:OLEObject Type="Embed" ProgID="STATISTICA.Graph" ShapeID="_x0000_i1077" DrawAspect="Content" ObjectID="_1619823438" r:id="rId113">
            <o:FieldCodes>\s</o:FieldCodes>
          </o:OLEObject>
        </w:object>
      </w:r>
      <w:r>
        <w:object w:dxaOrig="4683" w:dyaOrig="3516">
          <v:shape id="_x0000_i1078" type="#_x0000_t75" style="width:230.25pt;height:172.5pt" o:ole="">
            <v:imagedata r:id="rId114" o:title=""/>
          </v:shape>
          <o:OLEObject Type="Embed" ProgID="STATISTICA.Graph" ShapeID="_x0000_i1078" DrawAspect="Content" ObjectID="_1619823439" r:id="rId115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4496" w:dyaOrig="3370">
          <v:shape id="_x0000_i1079" type="#_x0000_t75" style="width:223.5pt;height:165.75pt" o:ole="">
            <v:imagedata r:id="rId116" o:title=""/>
          </v:shape>
          <o:OLEObject Type="Embed" ProgID="STATISTICA.Graph" ShapeID="_x0000_i1079" DrawAspect="Content" ObjectID="_1619823440" r:id="rId117">
            <o:FieldCodes>\s</o:FieldCodes>
          </o:OLEObject>
        </w:object>
      </w:r>
      <w:r>
        <w:object w:dxaOrig="4496" w:dyaOrig="3370">
          <v:shape id="_x0000_i1080" type="#_x0000_t75" style="width:223.5pt;height:165.75pt" o:ole="">
            <v:imagedata r:id="rId118" o:title=""/>
          </v:shape>
          <o:OLEObject Type="Embed" ProgID="STATISTICA.Graph" ShapeID="_x0000_i1080" DrawAspect="Content" ObjectID="_1619823441" r:id="rId119">
            <o:FieldCodes>\s</o:FieldCodes>
          </o:OLEObject>
        </w:object>
      </w:r>
      <w:r>
        <w:object w:dxaOrig="4683" w:dyaOrig="3513">
          <v:shape id="_x0000_i1081" type="#_x0000_t75" style="width:230.25pt;height:172.5pt" o:ole="">
            <v:imagedata r:id="rId120" o:title=""/>
          </v:shape>
          <o:OLEObject Type="Embed" ProgID="STATISTICA.Graph" ShapeID="_x0000_i1081" DrawAspect="Content" ObjectID="_1619823442" r:id="rId121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</w:pPr>
      <w:r>
        <w:object w:dxaOrig="5224" w:dyaOrig="3917">
          <v:shape id="_x0000_i1082" type="#_x0000_t75" style="width:258.75pt;height:194.25pt" o:ole="">
            <v:imagedata r:id="rId122" o:title=""/>
          </v:shape>
          <o:OLEObject Type="Embed" ProgID="STATISTICA.Graph" ShapeID="_x0000_i1082" DrawAspect="Content" ObjectID="_1619823443" r:id="rId123">
            <o:FieldCodes>\s</o:FieldCodes>
          </o:OLEObject>
        </w:object>
      </w: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</w:p>
    <w:p w:rsidR="00524114" w:rsidRDefault="00524114">
      <w:pPr>
        <w:pStyle w:val="ad"/>
        <w:tabs>
          <w:tab w:val="center" w:pos="0"/>
        </w:tabs>
        <w:spacing w:line="360" w:lineRule="auto"/>
        <w:ind w:left="1701"/>
        <w:jc w:val="both"/>
        <w:rPr>
          <w:sz w:val="28"/>
          <w:szCs w:val="28"/>
        </w:rPr>
      </w:pPr>
    </w:p>
    <w:sectPr w:rsidR="00524114" w:rsidSect="0044577A">
      <w:footerReference w:type="default" r:id="rId124"/>
      <w:pgSz w:w="11906" w:h="16838"/>
      <w:pgMar w:top="1440" w:right="1080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AC2" w:rsidRDefault="00142AC2">
      <w:r>
        <w:separator/>
      </w:r>
    </w:p>
  </w:endnote>
  <w:endnote w:type="continuationSeparator" w:id="0">
    <w:p w:rsidR="00142AC2" w:rsidRDefault="00142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AC2" w:rsidRDefault="00142AC2">
    <w:pPr>
      <w:pStyle w:val="a7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495F51">
      <w:rPr>
        <w:noProof/>
      </w:rPr>
      <w:t>35</w:t>
    </w:r>
    <w:r>
      <w:rPr>
        <w:noProof/>
      </w:rPr>
      <w:fldChar w:fldCharType="end"/>
    </w:r>
  </w:p>
  <w:p w:rsidR="00142AC2" w:rsidRDefault="00142A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AC2" w:rsidRDefault="00142AC2">
      <w:r>
        <w:separator/>
      </w:r>
    </w:p>
  </w:footnote>
  <w:footnote w:type="continuationSeparator" w:id="0">
    <w:p w:rsidR="00142AC2" w:rsidRDefault="00142A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05683E"/>
    <w:multiLevelType w:val="hybridMultilevel"/>
    <w:tmpl w:val="D99CB6F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754822"/>
    <w:multiLevelType w:val="hybridMultilevel"/>
    <w:tmpl w:val="B0740396"/>
    <w:lvl w:ilvl="0" w:tplc="1614521E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  <w:rPr>
        <w:rFonts w:cs="Times New Roman"/>
      </w:rPr>
    </w:lvl>
  </w:abstractNum>
  <w:abstractNum w:abstractNumId="2">
    <w:nsid w:val="009E5AA8"/>
    <w:multiLevelType w:val="hybridMultilevel"/>
    <w:tmpl w:val="6AA00EF6"/>
    <w:lvl w:ilvl="0" w:tplc="54024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60BF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56E9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652E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FBE13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938C2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CC6E4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5481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67461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2533C94"/>
    <w:multiLevelType w:val="hybridMultilevel"/>
    <w:tmpl w:val="FD66EB8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AE9449A"/>
    <w:multiLevelType w:val="multilevel"/>
    <w:tmpl w:val="3BD254C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16375F1E"/>
    <w:multiLevelType w:val="hybridMultilevel"/>
    <w:tmpl w:val="905A316A"/>
    <w:lvl w:ilvl="0" w:tplc="3814A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B80A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3413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6041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380F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756E6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3FA42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B6C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E829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1533298"/>
    <w:multiLevelType w:val="hybridMultilevel"/>
    <w:tmpl w:val="977CD3B0"/>
    <w:lvl w:ilvl="0" w:tplc="986CCE7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5E0F7F"/>
    <w:multiLevelType w:val="hybridMultilevel"/>
    <w:tmpl w:val="BE9AC3F8"/>
    <w:lvl w:ilvl="0" w:tplc="B8924258">
      <w:start w:val="4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  <w:rPr>
        <w:rFonts w:cs="Times New Roman"/>
      </w:rPr>
    </w:lvl>
  </w:abstractNum>
  <w:abstractNum w:abstractNumId="8">
    <w:nsid w:val="2B314E29"/>
    <w:multiLevelType w:val="hybridMultilevel"/>
    <w:tmpl w:val="F9535D8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32505388"/>
    <w:multiLevelType w:val="hybridMultilevel"/>
    <w:tmpl w:val="43EAE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41A783D"/>
    <w:multiLevelType w:val="hybridMultilevel"/>
    <w:tmpl w:val="68004426"/>
    <w:lvl w:ilvl="0" w:tplc="5978C2D8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  <w:rPr>
        <w:rFonts w:cs="Times New Roman"/>
      </w:rPr>
    </w:lvl>
  </w:abstractNum>
  <w:abstractNum w:abstractNumId="11">
    <w:nsid w:val="38206131"/>
    <w:multiLevelType w:val="hybridMultilevel"/>
    <w:tmpl w:val="AD82DE2A"/>
    <w:lvl w:ilvl="0" w:tplc="B0A4F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08E1E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F9227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6C89C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896BA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86A35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D68C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FD04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34F7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FB4136"/>
    <w:multiLevelType w:val="multilevel"/>
    <w:tmpl w:val="E646B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71F218C"/>
    <w:multiLevelType w:val="hybridMultilevel"/>
    <w:tmpl w:val="7FC664A8"/>
    <w:lvl w:ilvl="0" w:tplc="7478861C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72A4DA9"/>
    <w:multiLevelType w:val="multilevel"/>
    <w:tmpl w:val="12DCFE6A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2" w:hanging="60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29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8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9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0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51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976" w:hanging="2160"/>
      </w:pPr>
      <w:rPr>
        <w:rFonts w:cs="Times New Roman" w:hint="default"/>
      </w:rPr>
    </w:lvl>
  </w:abstractNum>
  <w:abstractNum w:abstractNumId="15">
    <w:nsid w:val="4A5F5E63"/>
    <w:multiLevelType w:val="hybridMultilevel"/>
    <w:tmpl w:val="A864B930"/>
    <w:lvl w:ilvl="0" w:tplc="171AC9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8624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3322E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EB05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2C1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5168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5BC2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CA71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DC4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BFE245A"/>
    <w:multiLevelType w:val="hybridMultilevel"/>
    <w:tmpl w:val="55227F78"/>
    <w:lvl w:ilvl="0" w:tplc="C57A969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2356"/>
        </w:tabs>
        <w:ind w:left="2356" w:hanging="360"/>
      </w:pPr>
      <w:rPr>
        <w:rFonts w:cs="Times New Roman" w:hint="default"/>
      </w:rPr>
    </w:lvl>
    <w:lvl w:ilvl="2" w:tplc="8C0AF934">
      <w:start w:val="1"/>
      <w:numFmt w:val="decimal"/>
      <w:lvlText w:val="%3)"/>
      <w:lvlJc w:val="left"/>
      <w:pPr>
        <w:tabs>
          <w:tab w:val="num" w:pos="3076"/>
        </w:tabs>
        <w:ind w:left="3076" w:hanging="360"/>
      </w:pPr>
      <w:rPr>
        <w:rFonts w:ascii="Times New Roman" w:eastAsia="Times New Roman" w:hAnsi="Times New Roman" w:cs="Times New Roman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7">
    <w:nsid w:val="4D9F2336"/>
    <w:multiLevelType w:val="multilevel"/>
    <w:tmpl w:val="FC26D0B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65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cs="Times New Roman" w:hint="default"/>
      </w:rPr>
    </w:lvl>
  </w:abstractNum>
  <w:abstractNum w:abstractNumId="18">
    <w:nsid w:val="4E9042B0"/>
    <w:multiLevelType w:val="multilevel"/>
    <w:tmpl w:val="12DCFE6A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2" w:hanging="60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29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8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9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0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51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976" w:hanging="2160"/>
      </w:pPr>
      <w:rPr>
        <w:rFonts w:cs="Times New Roman" w:hint="default"/>
      </w:rPr>
    </w:lvl>
  </w:abstractNum>
  <w:abstractNum w:abstractNumId="19">
    <w:nsid w:val="559F754D"/>
    <w:multiLevelType w:val="hybridMultilevel"/>
    <w:tmpl w:val="AF6E8F74"/>
    <w:lvl w:ilvl="0" w:tplc="FF62E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 w:tplc="D910F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04099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2D03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4842F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022E6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8761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ED403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01413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C987BF7"/>
    <w:multiLevelType w:val="hybridMultilevel"/>
    <w:tmpl w:val="F95A82AE"/>
    <w:lvl w:ilvl="0" w:tplc="F5FC7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44CFB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3F655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8124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F6CF5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C478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4FA0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8504D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DE21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3C015FE"/>
    <w:multiLevelType w:val="multilevel"/>
    <w:tmpl w:val="D13ECEEA"/>
    <w:lvl w:ilvl="0">
      <w:start w:val="1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425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5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60" w:hanging="2160"/>
      </w:pPr>
      <w:rPr>
        <w:rFonts w:cs="Times New Roman" w:hint="default"/>
      </w:rPr>
    </w:lvl>
  </w:abstractNum>
  <w:abstractNum w:abstractNumId="22">
    <w:nsid w:val="648C0896"/>
    <w:multiLevelType w:val="multilevel"/>
    <w:tmpl w:val="644E600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395"/>
        </w:tabs>
        <w:ind w:left="1395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370"/>
        </w:tabs>
        <w:ind w:left="23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555"/>
        </w:tabs>
        <w:ind w:left="35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80"/>
        </w:tabs>
        <w:ind w:left="43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565"/>
        </w:tabs>
        <w:ind w:left="5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0"/>
        </w:tabs>
        <w:ind w:left="63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75"/>
        </w:tabs>
        <w:ind w:left="75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60"/>
        </w:tabs>
        <w:ind w:left="8760" w:hanging="2160"/>
      </w:pPr>
      <w:rPr>
        <w:rFonts w:cs="Times New Roman" w:hint="default"/>
      </w:rPr>
    </w:lvl>
  </w:abstractNum>
  <w:abstractNum w:abstractNumId="23">
    <w:nsid w:val="66953433"/>
    <w:multiLevelType w:val="hybridMultilevel"/>
    <w:tmpl w:val="C92424B0"/>
    <w:lvl w:ilvl="0" w:tplc="B54461A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C445E5B"/>
    <w:multiLevelType w:val="hybridMultilevel"/>
    <w:tmpl w:val="EF9DF3D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6E561A45"/>
    <w:multiLevelType w:val="multilevel"/>
    <w:tmpl w:val="12DCFE6A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2" w:hanging="60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29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8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9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0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51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976" w:hanging="2160"/>
      </w:pPr>
      <w:rPr>
        <w:rFonts w:cs="Times New Roman" w:hint="default"/>
      </w:rPr>
    </w:lvl>
  </w:abstractNum>
  <w:abstractNum w:abstractNumId="26">
    <w:nsid w:val="6F9D36FE"/>
    <w:multiLevelType w:val="multilevel"/>
    <w:tmpl w:val="EEC0C24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258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5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6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9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24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72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9800" w:hanging="2160"/>
      </w:pPr>
      <w:rPr>
        <w:rFonts w:cs="Times New Roman" w:hint="default"/>
      </w:rPr>
    </w:lvl>
  </w:abstractNum>
  <w:abstractNum w:abstractNumId="27">
    <w:nsid w:val="7CDC66F8"/>
    <w:multiLevelType w:val="hybridMultilevel"/>
    <w:tmpl w:val="181C621E"/>
    <w:lvl w:ilvl="0" w:tplc="7D7A3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434E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0CDA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6FE71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C8F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63A0F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2622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261F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461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24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23"/>
  </w:num>
  <w:num w:numId="9">
    <w:abstractNumId w:val="26"/>
  </w:num>
  <w:num w:numId="10">
    <w:abstractNumId w:val="7"/>
  </w:num>
  <w:num w:numId="11">
    <w:abstractNumId w:val="13"/>
  </w:num>
  <w:num w:numId="12">
    <w:abstractNumId w:val="9"/>
  </w:num>
  <w:num w:numId="13">
    <w:abstractNumId w:val="19"/>
  </w:num>
  <w:num w:numId="14">
    <w:abstractNumId w:val="27"/>
  </w:num>
  <w:num w:numId="15">
    <w:abstractNumId w:val="5"/>
  </w:num>
  <w:num w:numId="16">
    <w:abstractNumId w:val="11"/>
  </w:num>
  <w:num w:numId="17">
    <w:abstractNumId w:val="12"/>
  </w:num>
  <w:num w:numId="18">
    <w:abstractNumId w:val="17"/>
  </w:num>
  <w:num w:numId="19">
    <w:abstractNumId w:val="21"/>
  </w:num>
  <w:num w:numId="20">
    <w:abstractNumId w:val="18"/>
  </w:num>
  <w:num w:numId="21">
    <w:abstractNumId w:val="22"/>
  </w:num>
  <w:num w:numId="22">
    <w:abstractNumId w:val="2"/>
  </w:num>
  <w:num w:numId="23">
    <w:abstractNumId w:val="15"/>
  </w:num>
  <w:num w:numId="24">
    <w:abstractNumId w:val="20"/>
  </w:num>
  <w:num w:numId="25">
    <w:abstractNumId w:val="14"/>
  </w:num>
  <w:num w:numId="26">
    <w:abstractNumId w:val="25"/>
  </w:num>
  <w:num w:numId="27">
    <w:abstractNumId w:val="1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7A"/>
    <w:rsid w:val="00042E85"/>
    <w:rsid w:val="000E59DA"/>
    <w:rsid w:val="00142AC2"/>
    <w:rsid w:val="00163B1F"/>
    <w:rsid w:val="0026544A"/>
    <w:rsid w:val="0027668D"/>
    <w:rsid w:val="002B744C"/>
    <w:rsid w:val="00300B3C"/>
    <w:rsid w:val="00300EE5"/>
    <w:rsid w:val="00353C0A"/>
    <w:rsid w:val="00421877"/>
    <w:rsid w:val="0044577A"/>
    <w:rsid w:val="00495F51"/>
    <w:rsid w:val="005116B5"/>
    <w:rsid w:val="00524114"/>
    <w:rsid w:val="006041C6"/>
    <w:rsid w:val="00655A29"/>
    <w:rsid w:val="006E36E0"/>
    <w:rsid w:val="007407B8"/>
    <w:rsid w:val="007C31ED"/>
    <w:rsid w:val="0088188F"/>
    <w:rsid w:val="008C78DE"/>
    <w:rsid w:val="008D106D"/>
    <w:rsid w:val="008F1CAF"/>
    <w:rsid w:val="0090475B"/>
    <w:rsid w:val="00904C1F"/>
    <w:rsid w:val="00A267E0"/>
    <w:rsid w:val="00AF2194"/>
    <w:rsid w:val="00BA2812"/>
    <w:rsid w:val="00C2263E"/>
    <w:rsid w:val="00D26A48"/>
    <w:rsid w:val="00E37F96"/>
    <w:rsid w:val="00F66590"/>
    <w:rsid w:val="00F8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77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44577A"/>
    <w:pPr>
      <w:shd w:val="clear" w:color="auto" w:fill="000080"/>
    </w:pPr>
    <w:rPr>
      <w:sz w:val="2"/>
      <w:szCs w:val="20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44577A"/>
    <w:rPr>
      <w:rFonts w:cs="Times New Roman"/>
      <w:sz w:val="2"/>
    </w:rPr>
  </w:style>
  <w:style w:type="paragraph" w:customStyle="1" w:styleId="Default">
    <w:name w:val="Default"/>
    <w:uiPriority w:val="99"/>
    <w:rsid w:val="0044577A"/>
    <w:pPr>
      <w:autoSpaceDE w:val="0"/>
      <w:autoSpaceDN w:val="0"/>
      <w:adjustRightInd w:val="0"/>
    </w:pPr>
    <w:rPr>
      <w:color w:val="000000"/>
      <w:sz w:val="24"/>
      <w:szCs w:val="24"/>
      <w:lang w:bidi="hi-IN"/>
    </w:rPr>
  </w:style>
  <w:style w:type="paragraph" w:styleId="a5">
    <w:name w:val="header"/>
    <w:basedOn w:val="a"/>
    <w:link w:val="a6"/>
    <w:uiPriority w:val="99"/>
    <w:rsid w:val="0044577A"/>
    <w:pPr>
      <w:tabs>
        <w:tab w:val="center" w:pos="4677"/>
        <w:tab w:val="right" w:pos="9355"/>
      </w:tabs>
    </w:pPr>
    <w:rPr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44577A"/>
    <w:rPr>
      <w:rFonts w:cs="Times New Roman"/>
      <w:sz w:val="24"/>
    </w:rPr>
  </w:style>
  <w:style w:type="paragraph" w:styleId="a7">
    <w:name w:val="footer"/>
    <w:basedOn w:val="a"/>
    <w:link w:val="a8"/>
    <w:uiPriority w:val="99"/>
    <w:rsid w:val="0044577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44577A"/>
    <w:rPr>
      <w:rFonts w:cs="Times New Roman"/>
      <w:sz w:val="24"/>
    </w:rPr>
  </w:style>
  <w:style w:type="paragraph" w:styleId="a9">
    <w:name w:val="Normal (Web)"/>
    <w:basedOn w:val="a"/>
    <w:uiPriority w:val="99"/>
    <w:rsid w:val="0044577A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44577A"/>
    <w:rPr>
      <w:rFonts w:cs="Times New Roman"/>
      <w:color w:val="808080"/>
    </w:rPr>
  </w:style>
  <w:style w:type="paragraph" w:styleId="ab">
    <w:name w:val="Balloon Text"/>
    <w:basedOn w:val="a"/>
    <w:link w:val="ac"/>
    <w:uiPriority w:val="99"/>
    <w:rsid w:val="0044577A"/>
    <w:rPr>
      <w:rFonts w:ascii="Tahoma" w:hAnsi="Tahoma"/>
      <w:sz w:val="16"/>
      <w:szCs w:val="20"/>
    </w:rPr>
  </w:style>
  <w:style w:type="character" w:customStyle="1" w:styleId="ac">
    <w:name w:val="Текст выноски Знак"/>
    <w:basedOn w:val="a0"/>
    <w:link w:val="ab"/>
    <w:uiPriority w:val="99"/>
    <w:locked/>
    <w:rsid w:val="0044577A"/>
    <w:rPr>
      <w:rFonts w:ascii="Tahoma" w:hAnsi="Tahoma" w:cs="Times New Roman"/>
      <w:sz w:val="16"/>
    </w:rPr>
  </w:style>
  <w:style w:type="paragraph" w:styleId="ad">
    <w:name w:val="List Paragraph"/>
    <w:basedOn w:val="a"/>
    <w:uiPriority w:val="99"/>
    <w:qFormat/>
    <w:rsid w:val="0044577A"/>
    <w:pPr>
      <w:ind w:left="720"/>
      <w:contextualSpacing/>
    </w:pPr>
  </w:style>
  <w:style w:type="table" w:styleId="ae">
    <w:name w:val="Table Grid"/>
    <w:basedOn w:val="a1"/>
    <w:uiPriority w:val="99"/>
    <w:locked/>
    <w:rsid w:val="004457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44577A"/>
    <w:pPr>
      <w:ind w:left="708"/>
    </w:pPr>
  </w:style>
  <w:style w:type="character" w:customStyle="1" w:styleId="apple-converted-space">
    <w:name w:val="apple-converted-space"/>
    <w:basedOn w:val="a0"/>
    <w:uiPriority w:val="99"/>
    <w:rsid w:val="0044577A"/>
    <w:rPr>
      <w:rFonts w:cs="Times New Roman"/>
    </w:rPr>
  </w:style>
  <w:style w:type="paragraph" w:customStyle="1" w:styleId="af">
    <w:name w:val="Знак Знак Знак Знак Знак Знак Знак Знак"/>
    <w:basedOn w:val="a"/>
    <w:uiPriority w:val="99"/>
    <w:rsid w:val="0044577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Emphasis"/>
    <w:basedOn w:val="a0"/>
    <w:uiPriority w:val="99"/>
    <w:qFormat/>
    <w:rsid w:val="0044577A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77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44577A"/>
    <w:pPr>
      <w:shd w:val="clear" w:color="auto" w:fill="000080"/>
    </w:pPr>
    <w:rPr>
      <w:sz w:val="2"/>
      <w:szCs w:val="20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44577A"/>
    <w:rPr>
      <w:rFonts w:cs="Times New Roman"/>
      <w:sz w:val="2"/>
    </w:rPr>
  </w:style>
  <w:style w:type="paragraph" w:customStyle="1" w:styleId="Default">
    <w:name w:val="Default"/>
    <w:uiPriority w:val="99"/>
    <w:rsid w:val="0044577A"/>
    <w:pPr>
      <w:autoSpaceDE w:val="0"/>
      <w:autoSpaceDN w:val="0"/>
      <w:adjustRightInd w:val="0"/>
    </w:pPr>
    <w:rPr>
      <w:color w:val="000000"/>
      <w:sz w:val="24"/>
      <w:szCs w:val="24"/>
      <w:lang w:bidi="hi-IN"/>
    </w:rPr>
  </w:style>
  <w:style w:type="paragraph" w:styleId="a5">
    <w:name w:val="header"/>
    <w:basedOn w:val="a"/>
    <w:link w:val="a6"/>
    <w:uiPriority w:val="99"/>
    <w:rsid w:val="0044577A"/>
    <w:pPr>
      <w:tabs>
        <w:tab w:val="center" w:pos="4677"/>
        <w:tab w:val="right" w:pos="9355"/>
      </w:tabs>
    </w:pPr>
    <w:rPr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44577A"/>
    <w:rPr>
      <w:rFonts w:cs="Times New Roman"/>
      <w:sz w:val="24"/>
    </w:rPr>
  </w:style>
  <w:style w:type="paragraph" w:styleId="a7">
    <w:name w:val="footer"/>
    <w:basedOn w:val="a"/>
    <w:link w:val="a8"/>
    <w:uiPriority w:val="99"/>
    <w:rsid w:val="0044577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44577A"/>
    <w:rPr>
      <w:rFonts w:cs="Times New Roman"/>
      <w:sz w:val="24"/>
    </w:rPr>
  </w:style>
  <w:style w:type="paragraph" w:styleId="a9">
    <w:name w:val="Normal (Web)"/>
    <w:basedOn w:val="a"/>
    <w:uiPriority w:val="99"/>
    <w:rsid w:val="0044577A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44577A"/>
    <w:rPr>
      <w:rFonts w:cs="Times New Roman"/>
      <w:color w:val="808080"/>
    </w:rPr>
  </w:style>
  <w:style w:type="paragraph" w:styleId="ab">
    <w:name w:val="Balloon Text"/>
    <w:basedOn w:val="a"/>
    <w:link w:val="ac"/>
    <w:uiPriority w:val="99"/>
    <w:rsid w:val="0044577A"/>
    <w:rPr>
      <w:rFonts w:ascii="Tahoma" w:hAnsi="Tahoma"/>
      <w:sz w:val="16"/>
      <w:szCs w:val="20"/>
    </w:rPr>
  </w:style>
  <w:style w:type="character" w:customStyle="1" w:styleId="ac">
    <w:name w:val="Текст выноски Знак"/>
    <w:basedOn w:val="a0"/>
    <w:link w:val="ab"/>
    <w:uiPriority w:val="99"/>
    <w:locked/>
    <w:rsid w:val="0044577A"/>
    <w:rPr>
      <w:rFonts w:ascii="Tahoma" w:hAnsi="Tahoma" w:cs="Times New Roman"/>
      <w:sz w:val="16"/>
    </w:rPr>
  </w:style>
  <w:style w:type="paragraph" w:styleId="ad">
    <w:name w:val="List Paragraph"/>
    <w:basedOn w:val="a"/>
    <w:uiPriority w:val="99"/>
    <w:qFormat/>
    <w:rsid w:val="0044577A"/>
    <w:pPr>
      <w:ind w:left="720"/>
      <w:contextualSpacing/>
    </w:pPr>
  </w:style>
  <w:style w:type="table" w:styleId="ae">
    <w:name w:val="Table Grid"/>
    <w:basedOn w:val="a1"/>
    <w:uiPriority w:val="99"/>
    <w:locked/>
    <w:rsid w:val="004457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44577A"/>
    <w:pPr>
      <w:ind w:left="708"/>
    </w:pPr>
  </w:style>
  <w:style w:type="character" w:customStyle="1" w:styleId="apple-converted-space">
    <w:name w:val="apple-converted-space"/>
    <w:basedOn w:val="a0"/>
    <w:uiPriority w:val="99"/>
    <w:rsid w:val="0044577A"/>
    <w:rPr>
      <w:rFonts w:cs="Times New Roman"/>
    </w:rPr>
  </w:style>
  <w:style w:type="paragraph" w:customStyle="1" w:styleId="af">
    <w:name w:val="Знак Знак Знак Знак Знак Знак Знак Знак"/>
    <w:basedOn w:val="a"/>
    <w:uiPriority w:val="99"/>
    <w:rsid w:val="0044577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Emphasis"/>
    <w:basedOn w:val="a0"/>
    <w:uiPriority w:val="99"/>
    <w:qFormat/>
    <w:rsid w:val="0044577A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84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emf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3.png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emf"/><Relationship Id="rId123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90" Type="http://schemas.openxmlformats.org/officeDocument/2006/relationships/image" Target="media/image42.e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emf"/><Relationship Id="rId105" Type="http://schemas.openxmlformats.org/officeDocument/2006/relationships/oleObject" Target="embeddings/oleObject49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emf"/><Relationship Id="rId12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2.emf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57.bin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emf"/><Relationship Id="rId111" Type="http://schemas.openxmlformats.org/officeDocument/2006/relationships/oleObject" Target="embeddings/oleObject5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oleObject" Target="embeddings/oleObject56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3.bin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e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115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53</Pages>
  <Words>5937</Words>
  <Characters>45959</Characters>
  <Application>Microsoft Office Word</Application>
  <DocSecurity>0</DocSecurity>
  <Lines>382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Экофизиологические особенности кишечного сообщества диплопод</vt:lpstr>
    </vt:vector>
  </TitlesOfParts>
  <Company>NoName</Company>
  <LinksUpToDate>false</LinksUpToDate>
  <CharactersWithSpaces>51793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Экофизиологические особенности кишечного сообщества диплопод</dc:title>
  <dc:subject/>
  <dc:creator>TECAN</dc:creator>
  <cp:keywords/>
  <dc:description/>
  <cp:lastModifiedBy>Анна</cp:lastModifiedBy>
  <cp:revision>10</cp:revision>
  <dcterms:created xsi:type="dcterms:W3CDTF">2019-05-17T19:57:00Z</dcterms:created>
  <dcterms:modified xsi:type="dcterms:W3CDTF">2019-05-19T23:07:00Z</dcterms:modified>
</cp:coreProperties>
</file>