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2B" w:rsidRPr="009D43F2" w:rsidRDefault="001F572B" w:rsidP="007036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>Московский государственный  университет имени М.В. Ломоносова</w:t>
      </w:r>
    </w:p>
    <w:p w:rsidR="001F572B" w:rsidRPr="009D43F2" w:rsidRDefault="001F572B" w:rsidP="001F11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           Кафедра клеточной биологии и гистологии</w:t>
      </w:r>
    </w:p>
    <w:p w:rsidR="001F572B" w:rsidRPr="009D43F2" w:rsidRDefault="001F572B" w:rsidP="0070361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F572B" w:rsidRPr="009D43F2" w:rsidRDefault="001F572B" w:rsidP="003E2F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УТВЕРЖДАЮ</w:t>
      </w:r>
    </w:p>
    <w:p w:rsidR="001F572B" w:rsidRPr="009D43F2" w:rsidRDefault="001F572B" w:rsidP="001F11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9D43F2">
        <w:rPr>
          <w:rFonts w:ascii="Times New Roman" w:hAnsi="Times New Roman"/>
          <w:sz w:val="24"/>
          <w:szCs w:val="24"/>
          <w:lang w:eastAsia="ru-RU"/>
        </w:rPr>
        <w:t xml:space="preserve">Декан биологического факультета </w:t>
      </w:r>
    </w:p>
    <w:p w:rsidR="001F572B" w:rsidRPr="009D43F2" w:rsidRDefault="001F572B" w:rsidP="001F11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9D43F2">
        <w:rPr>
          <w:rFonts w:ascii="Times New Roman" w:hAnsi="Times New Roman"/>
          <w:sz w:val="24"/>
          <w:szCs w:val="24"/>
          <w:lang w:eastAsia="ru-RU"/>
        </w:rPr>
        <w:t>д.б</w:t>
      </w:r>
      <w:proofErr w:type="gramEnd"/>
      <w:r w:rsidRPr="009D43F2">
        <w:rPr>
          <w:rFonts w:ascii="Times New Roman" w:hAnsi="Times New Roman"/>
          <w:sz w:val="24"/>
          <w:szCs w:val="24"/>
          <w:lang w:eastAsia="ru-RU"/>
        </w:rPr>
        <w:t xml:space="preserve">.н. профессор  М.П.   Кирпичников                                                                               </w:t>
      </w:r>
    </w:p>
    <w:p w:rsidR="001F572B" w:rsidRPr="009D43F2" w:rsidRDefault="001F572B" w:rsidP="001F1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:rsidR="001F572B" w:rsidRPr="009D43F2" w:rsidRDefault="001F572B" w:rsidP="003E2F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9D43F2">
        <w:rPr>
          <w:rFonts w:ascii="Times New Roman" w:hAnsi="Times New Roman"/>
          <w:sz w:val="24"/>
          <w:szCs w:val="24"/>
          <w:lang w:eastAsia="ru-RU"/>
        </w:rPr>
        <w:t xml:space="preserve"> _______________________________ </w:t>
      </w:r>
    </w:p>
    <w:p w:rsidR="001F572B" w:rsidRPr="009D43F2" w:rsidRDefault="001F572B" w:rsidP="002F09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№</w:t>
      </w:r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госрегистрации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D43F2">
        <w:rPr>
          <w:rFonts w:ascii="Times New Roman" w:hAnsi="Times New Roman"/>
          <w:sz w:val="24"/>
          <w:szCs w:val="24"/>
          <w:lang w:eastAsia="ru-RU"/>
        </w:rPr>
        <w:t>«______»</w:t>
      </w:r>
      <w:r w:rsidRPr="009D43F2">
        <w:rPr>
          <w:rFonts w:ascii="Times New Roman" w:eastAsia="ArialUnicodeMS" w:hAnsi="Times New Roman"/>
          <w:sz w:val="24"/>
          <w:szCs w:val="24"/>
        </w:rPr>
        <w:t>_______________________г.</w:t>
      </w:r>
    </w:p>
    <w:p w:rsidR="001F572B" w:rsidRPr="009D43F2" w:rsidRDefault="001F572B" w:rsidP="009D4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t>АААА-А16-116021660104-6</w:t>
      </w:r>
    </w:p>
    <w:p w:rsidR="001F572B" w:rsidRPr="009D43F2" w:rsidRDefault="001F572B" w:rsidP="009D4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eastAsia="ArialUnicodeMS" w:hAnsi="Times New Roman"/>
          <w:sz w:val="24"/>
          <w:szCs w:val="24"/>
        </w:rPr>
        <w:t xml:space="preserve">                                                                                      </w:t>
      </w:r>
    </w:p>
    <w:p w:rsidR="001F572B" w:rsidRDefault="001F572B" w:rsidP="002F09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УДК: 591.4 Морфология животных.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1F572B" w:rsidRPr="009D43F2" w:rsidRDefault="001F572B" w:rsidP="002F09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>Органология. Анатомия. Зоотомия</w:t>
      </w:r>
    </w:p>
    <w:p w:rsidR="001F572B" w:rsidRPr="009D43F2" w:rsidRDefault="001F572B" w:rsidP="002F09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>611.013 Эмбриология</w:t>
      </w:r>
    </w:p>
    <w:p w:rsidR="001F572B" w:rsidRPr="009D43F2" w:rsidRDefault="001F572B" w:rsidP="002F09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>591.3 Эмбриология животных. Онтогенез.</w:t>
      </w:r>
    </w:p>
    <w:p w:rsidR="001F572B" w:rsidRPr="009D43F2" w:rsidRDefault="001F572B" w:rsidP="002F09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Индивидуальное развитие</w:t>
      </w:r>
    </w:p>
    <w:p w:rsidR="001F572B" w:rsidRPr="009D43F2" w:rsidRDefault="001F572B" w:rsidP="009D43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1F572B" w:rsidRDefault="001F572B" w:rsidP="003E2F9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Инв. №</w:t>
      </w:r>
      <w:r w:rsidRPr="009D43F2">
        <w:rPr>
          <w:rFonts w:ascii="Times New Roman" w:hAnsi="Times New Roman"/>
          <w:sz w:val="24"/>
          <w:szCs w:val="24"/>
        </w:rPr>
        <w:tab/>
      </w:r>
    </w:p>
    <w:p w:rsidR="001F572B" w:rsidRDefault="001F572B" w:rsidP="003E2F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572B" w:rsidRPr="009D43F2" w:rsidRDefault="001F572B" w:rsidP="003E2F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tab/>
      </w:r>
      <w:r w:rsidRPr="009D43F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</w:p>
    <w:p w:rsidR="001F572B" w:rsidRPr="009D43F2" w:rsidRDefault="001F572B" w:rsidP="009D43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         ОТЧЕТ О НАУЧНО-ИССЛЕДОВАТЕЛЬСКОЙ РАБОТЕ</w:t>
      </w:r>
    </w:p>
    <w:p w:rsidR="001F572B" w:rsidRPr="009D43F2" w:rsidRDefault="001F572B" w:rsidP="007036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ФИИЗИОЛОГИЧЕСКИЕ МЕХАНИЗМЫ ДЕЯТЕЛЬНОСТИ, РАЗВИТИЯ И УСТОЙЧИВОСТИ ОРГАНИЗМА ЧЕЛОВЕКА И ЖИВОТНЫХ </w:t>
      </w:r>
    </w:p>
    <w:p w:rsidR="001F572B" w:rsidRPr="009D43F2" w:rsidRDefault="001F572B" w:rsidP="0070361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>по теме:</w:t>
      </w:r>
    </w:p>
    <w:p w:rsidR="001F572B" w:rsidRPr="009D43F2" w:rsidRDefault="001F572B" w:rsidP="00AA5BC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t>ГИСТОГЕНЕЗ И ГИСТОФИЗИОЛОГИЯ ОРГАНОВ ИММУННОЙ СИСТЕМЫ И БАРЬЕРНЫХ ТКАНЕЙ ПРИ АДАПТАЦИОННЫХ И ВОСПАЛИТЕЛЬНЫХ ПРОЦЕССАХ</w:t>
      </w:r>
    </w:p>
    <w:p w:rsidR="001F572B" w:rsidRPr="009D43F2" w:rsidRDefault="001F572B" w:rsidP="00AA5BC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(окончательный)</w:t>
      </w:r>
    </w:p>
    <w:p w:rsidR="001F572B" w:rsidRPr="009D43F2" w:rsidRDefault="001F572B" w:rsidP="0070361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1F572B" w:rsidRPr="009D43F2" w:rsidRDefault="001F572B" w:rsidP="007036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>Зам. декана по научной работе</w:t>
      </w:r>
    </w:p>
    <w:p w:rsidR="001F572B" w:rsidRDefault="001F572B" w:rsidP="007036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____________________ </w:t>
      </w:r>
    </w:p>
    <w:p w:rsidR="001F572B" w:rsidRPr="009D43F2" w:rsidRDefault="001F572B" w:rsidP="007036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72B" w:rsidRDefault="001F572B" w:rsidP="007036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«____»___________</w:t>
      </w:r>
      <w:proofErr w:type="gramStart"/>
      <w:r w:rsidRPr="009D43F2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9D43F2">
        <w:rPr>
          <w:rFonts w:ascii="Times New Roman" w:hAnsi="Times New Roman"/>
          <w:sz w:val="24"/>
          <w:szCs w:val="24"/>
          <w:lang w:eastAsia="ru-RU"/>
        </w:rPr>
        <w:t>.</w:t>
      </w:r>
    </w:p>
    <w:p w:rsidR="001F572B" w:rsidRPr="009D43F2" w:rsidRDefault="001F572B" w:rsidP="007036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72B" w:rsidRPr="009D43F2" w:rsidRDefault="001F572B" w:rsidP="007036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</w:p>
    <w:p w:rsidR="001F572B" w:rsidRPr="009D43F2" w:rsidRDefault="001F572B" w:rsidP="007036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72B" w:rsidRPr="009D43F2" w:rsidRDefault="001F572B" w:rsidP="0070361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>Руководитель темы</w:t>
      </w:r>
    </w:p>
    <w:p w:rsidR="001F572B" w:rsidRPr="009D43F2" w:rsidRDefault="001F572B" w:rsidP="0070361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>Макарова О.В..                                                                     __________________</w:t>
      </w:r>
    </w:p>
    <w:p w:rsidR="001F572B" w:rsidRDefault="001F572B" w:rsidP="009D43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  <w:t>«____»_____________</w:t>
      </w:r>
      <w:proofErr w:type="gramStart"/>
      <w:r w:rsidRPr="009D43F2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9D43F2">
        <w:rPr>
          <w:rFonts w:ascii="Times New Roman" w:hAnsi="Times New Roman"/>
          <w:sz w:val="24"/>
          <w:szCs w:val="24"/>
          <w:lang w:eastAsia="ru-RU"/>
        </w:rPr>
        <w:t>.</w:t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  <w:r w:rsidRPr="009D43F2">
        <w:rPr>
          <w:rFonts w:ascii="Times New Roman" w:hAnsi="Times New Roman"/>
          <w:sz w:val="24"/>
          <w:szCs w:val="24"/>
          <w:lang w:eastAsia="ru-RU"/>
        </w:rPr>
        <w:tab/>
      </w:r>
    </w:p>
    <w:p w:rsidR="001F572B" w:rsidRPr="009D43F2" w:rsidRDefault="001F572B" w:rsidP="0070361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Москва          2019</w:t>
      </w:r>
    </w:p>
    <w:p w:rsidR="001F572B" w:rsidRPr="009D43F2" w:rsidRDefault="001F572B" w:rsidP="00F67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lastRenderedPageBreak/>
        <w:t>СПИСОК ИСПОЛНИТЕЛЕЙ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2660"/>
        <w:gridCol w:w="4252"/>
        <w:gridCol w:w="2658"/>
      </w:tblGrid>
      <w:tr w:rsidR="001F572B" w:rsidRPr="009D43F2" w:rsidTr="00F6787B">
        <w:tc>
          <w:tcPr>
            <w:tcW w:w="2660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Руководитель темы:</w:t>
            </w:r>
          </w:p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F572B" w:rsidRPr="009D43F2" w:rsidRDefault="001F572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9D43F2" w:rsidTr="00F6787B">
        <w:tc>
          <w:tcPr>
            <w:tcW w:w="2660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Макарова О. В.</w:t>
            </w:r>
          </w:p>
        </w:tc>
        <w:tc>
          <w:tcPr>
            <w:tcW w:w="4252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2658" w:type="dxa"/>
          </w:tcPr>
          <w:p w:rsidR="001F572B" w:rsidRPr="009D43F2" w:rsidRDefault="001F572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D43F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D43F2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9D43F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proofErr w:type="gramEnd"/>
          </w:p>
          <w:p w:rsidR="001F572B" w:rsidRPr="009D43F2" w:rsidRDefault="001F572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разделы  №</w:t>
            </w:r>
            <w:r w:rsidRPr="009D43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D43F2">
              <w:rPr>
                <w:rFonts w:ascii="Times New Roman" w:hAnsi="Times New Roman"/>
                <w:sz w:val="24"/>
                <w:szCs w:val="24"/>
              </w:rPr>
              <w:t>-4)</w:t>
            </w:r>
          </w:p>
        </w:tc>
      </w:tr>
      <w:tr w:rsidR="001F572B" w:rsidRPr="009D43F2" w:rsidTr="00F6787B">
        <w:tc>
          <w:tcPr>
            <w:tcW w:w="2660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Исполнители темы:</w:t>
            </w:r>
          </w:p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F572B" w:rsidRPr="009D43F2" w:rsidRDefault="001F572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9D43F2" w:rsidTr="00C216FB">
        <w:tc>
          <w:tcPr>
            <w:tcW w:w="2660" w:type="dxa"/>
          </w:tcPr>
          <w:p w:rsidR="001F572B" w:rsidRPr="009D43F2" w:rsidRDefault="001F572B" w:rsidP="00C216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3F2">
              <w:rPr>
                <w:rFonts w:ascii="Times New Roman" w:hAnsi="Times New Roman"/>
                <w:sz w:val="24"/>
                <w:szCs w:val="24"/>
              </w:rPr>
              <w:t>Воротеляк</w:t>
            </w:r>
            <w:proofErr w:type="spellEnd"/>
            <w:r w:rsidRPr="009D43F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52" w:type="dxa"/>
          </w:tcPr>
          <w:p w:rsidR="001F572B" w:rsidRPr="009D43F2" w:rsidRDefault="001F572B" w:rsidP="00C216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3F2">
              <w:rPr>
                <w:rFonts w:ascii="Times New Roman" w:hAnsi="Times New Roman"/>
                <w:sz w:val="24"/>
                <w:szCs w:val="24"/>
              </w:rPr>
              <w:t>д.б</w:t>
            </w:r>
            <w:proofErr w:type="gramEnd"/>
            <w:r w:rsidRPr="009D43F2">
              <w:rPr>
                <w:rFonts w:ascii="Times New Roman" w:hAnsi="Times New Roman"/>
                <w:sz w:val="24"/>
                <w:szCs w:val="24"/>
              </w:rPr>
              <w:t>.н., профессор., чл.-корр. РАН</w:t>
            </w:r>
          </w:p>
        </w:tc>
        <w:tc>
          <w:tcPr>
            <w:tcW w:w="2658" w:type="dxa"/>
          </w:tcPr>
          <w:p w:rsidR="001F572B" w:rsidRPr="009D43F2" w:rsidRDefault="001F572B" w:rsidP="00C216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3F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D43F2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9D43F2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proofErr w:type="gramEnd"/>
          </w:p>
          <w:p w:rsidR="001F572B" w:rsidRPr="009D43F2" w:rsidRDefault="001F572B" w:rsidP="009B38C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разделы №1-3)</w:t>
            </w:r>
          </w:p>
          <w:p w:rsidR="001F572B" w:rsidRPr="009D43F2" w:rsidRDefault="001F572B" w:rsidP="009B38C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9D43F2" w:rsidTr="00C216FB">
        <w:tc>
          <w:tcPr>
            <w:tcW w:w="2660" w:type="dxa"/>
          </w:tcPr>
          <w:p w:rsidR="001F572B" w:rsidRPr="009D43F2" w:rsidRDefault="001F572B" w:rsidP="00C216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Васильева Т.В.</w:t>
            </w:r>
          </w:p>
        </w:tc>
        <w:tc>
          <w:tcPr>
            <w:tcW w:w="4252" w:type="dxa"/>
          </w:tcPr>
          <w:p w:rsidR="001F572B" w:rsidRPr="009D43F2" w:rsidRDefault="001F572B" w:rsidP="00C216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старший научный сотрудник, к.б.</w:t>
            </w:r>
            <w:proofErr w:type="gramStart"/>
            <w:r w:rsidRPr="009D43F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D4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1F572B" w:rsidRPr="009D43F2" w:rsidRDefault="001F572B" w:rsidP="00C216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3F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D43F2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  <w:r w:rsidRPr="009D43F2">
              <w:rPr>
                <w:rFonts w:ascii="Times New Roman" w:hAnsi="Times New Roman"/>
                <w:sz w:val="24"/>
                <w:szCs w:val="24"/>
              </w:rPr>
              <w:t xml:space="preserve"> 1-2</w:t>
            </w:r>
            <w:proofErr w:type="gramEnd"/>
          </w:p>
          <w:p w:rsidR="001F572B" w:rsidRPr="009D43F2" w:rsidRDefault="001F572B" w:rsidP="009B38C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разделы №1-3)</w:t>
            </w:r>
          </w:p>
          <w:p w:rsidR="001F572B" w:rsidRPr="009D43F2" w:rsidRDefault="001F572B" w:rsidP="009B38C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9D43F2" w:rsidTr="00C216FB">
        <w:tc>
          <w:tcPr>
            <w:tcW w:w="2660" w:type="dxa"/>
          </w:tcPr>
          <w:p w:rsidR="001F572B" w:rsidRPr="009D43F2" w:rsidRDefault="001F572B" w:rsidP="00C216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Добрынина М.Т.</w:t>
            </w:r>
          </w:p>
        </w:tc>
        <w:tc>
          <w:tcPr>
            <w:tcW w:w="4252" w:type="dxa"/>
          </w:tcPr>
          <w:p w:rsidR="001F572B" w:rsidRPr="009D43F2" w:rsidRDefault="001F572B" w:rsidP="00C216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доцент, к.б.</w:t>
            </w:r>
            <w:proofErr w:type="gramStart"/>
            <w:r w:rsidRPr="009D43F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D4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1F572B" w:rsidRPr="009D43F2" w:rsidRDefault="001F572B" w:rsidP="00C216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D43F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D43F2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9D43F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proofErr w:type="gramEnd"/>
          </w:p>
          <w:p w:rsidR="001F572B" w:rsidRPr="009D43F2" w:rsidRDefault="001F572B" w:rsidP="00C216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 xml:space="preserve">разделы № </w:t>
            </w:r>
            <w:r w:rsidRPr="009D43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D43F2">
              <w:rPr>
                <w:rFonts w:ascii="Times New Roman" w:hAnsi="Times New Roman"/>
                <w:sz w:val="24"/>
                <w:szCs w:val="24"/>
              </w:rPr>
              <w:t>-3)</w:t>
            </w:r>
          </w:p>
          <w:p w:rsidR="001F572B" w:rsidRPr="009D43F2" w:rsidRDefault="001F572B" w:rsidP="00C216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9D43F2" w:rsidTr="00C216FB">
        <w:tc>
          <w:tcPr>
            <w:tcW w:w="2660" w:type="dxa"/>
          </w:tcPr>
          <w:p w:rsidR="001F572B" w:rsidRPr="009D43F2" w:rsidRDefault="001F572B" w:rsidP="00C216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Федоров А.В.</w:t>
            </w:r>
          </w:p>
        </w:tc>
        <w:tc>
          <w:tcPr>
            <w:tcW w:w="4252" w:type="dxa"/>
          </w:tcPr>
          <w:p w:rsidR="001F572B" w:rsidRPr="009D43F2" w:rsidRDefault="001F572B" w:rsidP="00C216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658" w:type="dxa"/>
          </w:tcPr>
          <w:p w:rsidR="001F572B" w:rsidRPr="009D43F2" w:rsidRDefault="001F572B" w:rsidP="00C216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3F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D43F2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  <w:r w:rsidRPr="009D43F2">
              <w:rPr>
                <w:rFonts w:ascii="Times New Roman" w:hAnsi="Times New Roman"/>
                <w:sz w:val="24"/>
                <w:szCs w:val="24"/>
              </w:rPr>
              <w:t xml:space="preserve"> 1-2</w:t>
            </w:r>
            <w:proofErr w:type="gramEnd"/>
          </w:p>
          <w:p w:rsidR="001F572B" w:rsidRPr="009D43F2" w:rsidRDefault="001F572B" w:rsidP="009B38C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3F2">
              <w:rPr>
                <w:rFonts w:ascii="Times New Roman" w:hAnsi="Times New Roman"/>
                <w:sz w:val="24"/>
                <w:szCs w:val="24"/>
              </w:rPr>
              <w:t xml:space="preserve">разделы № </w:t>
            </w:r>
            <w:r w:rsidRPr="009D43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D43F2">
              <w:rPr>
                <w:rFonts w:ascii="Times New Roman" w:hAnsi="Times New Roman"/>
                <w:sz w:val="24"/>
                <w:szCs w:val="24"/>
              </w:rPr>
              <w:t>-3)</w:t>
            </w:r>
          </w:p>
        </w:tc>
      </w:tr>
      <w:tr w:rsidR="001F572B" w:rsidRPr="009D43F2" w:rsidTr="009B38CA">
        <w:tc>
          <w:tcPr>
            <w:tcW w:w="2660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F572B" w:rsidRPr="009D43F2" w:rsidRDefault="001F572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9D43F2" w:rsidTr="00F6787B">
        <w:tc>
          <w:tcPr>
            <w:tcW w:w="2660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F572B" w:rsidRPr="009D43F2" w:rsidRDefault="001F572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9D43F2" w:rsidTr="00F6787B">
        <w:tc>
          <w:tcPr>
            <w:tcW w:w="2660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F572B" w:rsidRPr="009D43F2" w:rsidRDefault="001F572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9D43F2" w:rsidTr="00F6787B">
        <w:tc>
          <w:tcPr>
            <w:tcW w:w="2660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F572B" w:rsidRPr="009D43F2" w:rsidRDefault="001F572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9D43F2" w:rsidTr="009B38CA">
        <w:tc>
          <w:tcPr>
            <w:tcW w:w="2660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F572B" w:rsidRPr="009D43F2" w:rsidRDefault="001F572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9D43F2" w:rsidTr="00F6787B">
        <w:tc>
          <w:tcPr>
            <w:tcW w:w="2660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572B" w:rsidRPr="009D43F2" w:rsidRDefault="001F57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F572B" w:rsidRPr="009D43F2" w:rsidRDefault="001F572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72B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3F2">
        <w:rPr>
          <w:rFonts w:ascii="Times New Roman" w:hAnsi="Times New Roman"/>
          <w:b/>
          <w:sz w:val="24"/>
          <w:szCs w:val="24"/>
        </w:rPr>
        <w:lastRenderedPageBreak/>
        <w:t>РЕФЕРАТ</w:t>
      </w:r>
    </w:p>
    <w:p w:rsidR="001F572B" w:rsidRPr="009D43F2" w:rsidRDefault="001F572B" w:rsidP="002837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 Ключевые слова:</w:t>
      </w: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тучные клетки, макрофаги, толстая кишка, стресс,</w:t>
      </w:r>
    </w:p>
    <w:p w:rsidR="001F572B" w:rsidRPr="009D43F2" w:rsidRDefault="001F572B" w:rsidP="00A5148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плюрипотентные клетки, внеклеточный матрикс, эпидермальные кератиноциты, дифференцировка,   </w:t>
      </w:r>
    </w:p>
    <w:p w:rsidR="001F572B" w:rsidRPr="009D43F2" w:rsidRDefault="001F572B" w:rsidP="00A5148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D43F2">
        <w:rPr>
          <w:rFonts w:ascii="Times New Roman" w:hAnsi="Times New Roman"/>
          <w:b/>
          <w:sz w:val="24"/>
          <w:szCs w:val="24"/>
        </w:rPr>
        <w:t>Подтема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1. Исследование противоаллергических свойств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митохондриальн</w:t>
      </w:r>
      <w:proofErr w:type="gramStart"/>
      <w:r w:rsidRPr="009D43F2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9D43F2">
        <w:rPr>
          <w:rFonts w:ascii="Times New Roman" w:hAnsi="Times New Roman"/>
          <w:b/>
          <w:sz w:val="24"/>
          <w:szCs w:val="24"/>
        </w:rPr>
        <w:t xml:space="preserve"> направленного антиоксиданта на основе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пластохинона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SkQ1 и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разобщителя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С12TPP в моделях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in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vitro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in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vivo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>.</w:t>
      </w:r>
    </w:p>
    <w:p w:rsidR="001F572B" w:rsidRPr="009D43F2" w:rsidRDefault="001F572B" w:rsidP="00DD2E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t xml:space="preserve">Исследовали влияние </w:t>
      </w:r>
      <w:proofErr w:type="spellStart"/>
      <w:r w:rsidRPr="009D43F2">
        <w:rPr>
          <w:rFonts w:ascii="Times New Roman" w:hAnsi="Times New Roman"/>
          <w:sz w:val="24"/>
          <w:szCs w:val="24"/>
        </w:rPr>
        <w:t>митохондриально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-направленного антиоксиданта </w:t>
      </w:r>
      <w:proofErr w:type="spellStart"/>
      <w:r w:rsidRPr="009D43F2">
        <w:rPr>
          <w:rFonts w:ascii="Times New Roman" w:hAnsi="Times New Roman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1  и </w:t>
      </w:r>
      <w:proofErr w:type="spellStart"/>
      <w:r w:rsidRPr="009D43F2">
        <w:rPr>
          <w:rFonts w:ascii="Times New Roman" w:hAnsi="Times New Roman"/>
          <w:sz w:val="24"/>
          <w:szCs w:val="24"/>
        </w:rPr>
        <w:t>разобщителя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С12</w:t>
      </w:r>
      <w:r w:rsidRPr="009D43F2">
        <w:rPr>
          <w:rFonts w:ascii="Times New Roman" w:hAnsi="Times New Roman"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sz w:val="24"/>
          <w:szCs w:val="24"/>
        </w:rPr>
        <w:t xml:space="preserve"> на фрагментацию митохондрий в ходе </w:t>
      </w:r>
      <w:proofErr w:type="gramStart"/>
      <w:r w:rsidRPr="009D43F2">
        <w:rPr>
          <w:rFonts w:ascii="Times New Roman" w:hAnsi="Times New Roman"/>
          <w:sz w:val="24"/>
          <w:szCs w:val="24"/>
        </w:rPr>
        <w:t>антиген-зависимой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дегрануляции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опухолевых тучных клеток линии  </w:t>
      </w:r>
      <w:r w:rsidRPr="009D43F2">
        <w:rPr>
          <w:rFonts w:ascii="Times New Roman" w:hAnsi="Times New Roman"/>
          <w:sz w:val="24"/>
          <w:szCs w:val="24"/>
          <w:lang w:val="en-US"/>
        </w:rPr>
        <w:t>RBL</w:t>
      </w:r>
      <w:r w:rsidRPr="009D43F2">
        <w:rPr>
          <w:rFonts w:ascii="Times New Roman" w:hAnsi="Times New Roman"/>
          <w:sz w:val="24"/>
          <w:szCs w:val="24"/>
        </w:rPr>
        <w:t>-2</w:t>
      </w:r>
      <w:r w:rsidRPr="009D43F2">
        <w:rPr>
          <w:rFonts w:ascii="Times New Roman" w:hAnsi="Times New Roman"/>
          <w:sz w:val="24"/>
          <w:szCs w:val="24"/>
          <w:lang w:val="en-US"/>
        </w:rPr>
        <w:t>H</w:t>
      </w:r>
      <w:r w:rsidRPr="009D43F2">
        <w:rPr>
          <w:rFonts w:ascii="Times New Roman" w:hAnsi="Times New Roman"/>
          <w:sz w:val="24"/>
          <w:szCs w:val="24"/>
        </w:rPr>
        <w:t xml:space="preserve">3. Митохондрии и секреторные гранулы клеток визуализировали с помощью  специфических флуоресцентных зондов. Показано,  что </w:t>
      </w:r>
      <w:proofErr w:type="spellStart"/>
      <w:r w:rsidRPr="009D43F2">
        <w:rPr>
          <w:rFonts w:ascii="Times New Roman" w:hAnsi="Times New Roman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1 и </w:t>
      </w:r>
      <w:r w:rsidRPr="009D43F2">
        <w:rPr>
          <w:rFonts w:ascii="Times New Roman" w:hAnsi="Times New Roman"/>
          <w:sz w:val="24"/>
          <w:szCs w:val="24"/>
          <w:lang w:val="en-US"/>
        </w:rPr>
        <w:t>C</w:t>
      </w:r>
      <w:r w:rsidRPr="009D43F2">
        <w:rPr>
          <w:rFonts w:ascii="Times New Roman" w:hAnsi="Times New Roman"/>
          <w:sz w:val="24"/>
          <w:szCs w:val="24"/>
        </w:rPr>
        <w:t>12</w:t>
      </w:r>
      <w:r w:rsidRPr="009D43F2">
        <w:rPr>
          <w:rFonts w:ascii="Times New Roman" w:hAnsi="Times New Roman"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sz w:val="24"/>
          <w:szCs w:val="24"/>
        </w:rPr>
        <w:t xml:space="preserve"> предотвращают фрагментацию митохондрий в стимулированных клетках </w:t>
      </w:r>
      <w:r w:rsidRPr="009D43F2">
        <w:rPr>
          <w:rFonts w:ascii="Times New Roman" w:hAnsi="Times New Roman"/>
          <w:sz w:val="24"/>
          <w:szCs w:val="24"/>
          <w:lang w:val="en-US"/>
        </w:rPr>
        <w:t>RBL</w:t>
      </w:r>
      <w:r w:rsidRPr="009D43F2">
        <w:rPr>
          <w:rFonts w:ascii="Times New Roman" w:hAnsi="Times New Roman"/>
          <w:sz w:val="24"/>
          <w:szCs w:val="24"/>
        </w:rPr>
        <w:t>-2</w:t>
      </w:r>
      <w:r w:rsidRPr="009D43F2">
        <w:rPr>
          <w:rFonts w:ascii="Times New Roman" w:hAnsi="Times New Roman"/>
          <w:sz w:val="24"/>
          <w:szCs w:val="24"/>
          <w:lang w:val="en-US"/>
        </w:rPr>
        <w:t>H</w:t>
      </w:r>
      <w:r w:rsidRPr="009D43F2">
        <w:rPr>
          <w:rFonts w:ascii="Times New Roman" w:hAnsi="Times New Roman"/>
          <w:sz w:val="24"/>
          <w:szCs w:val="24"/>
        </w:rPr>
        <w:t xml:space="preserve">3. Полученные данные подтверждают гипотезу о том, что </w:t>
      </w:r>
      <w:proofErr w:type="spellStart"/>
      <w:r w:rsidRPr="009D43F2">
        <w:rPr>
          <w:rFonts w:ascii="Times New Roman" w:hAnsi="Times New Roman"/>
          <w:sz w:val="24"/>
          <w:szCs w:val="24"/>
        </w:rPr>
        <w:t>мтАФК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могут участвовать  в </w:t>
      </w:r>
      <w:proofErr w:type="spellStart"/>
      <w:r w:rsidRPr="009D43F2">
        <w:rPr>
          <w:rFonts w:ascii="Times New Roman" w:hAnsi="Times New Roman"/>
          <w:sz w:val="24"/>
          <w:szCs w:val="24"/>
        </w:rPr>
        <w:t>дегрануляции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тучных клеток посредством индукции фрагментации митохондрий.</w:t>
      </w:r>
    </w:p>
    <w:p w:rsidR="001F572B" w:rsidRPr="009D43F2" w:rsidRDefault="001F572B" w:rsidP="008F61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D43F2">
        <w:rPr>
          <w:rFonts w:ascii="Times New Roman" w:hAnsi="Times New Roman"/>
          <w:b/>
          <w:sz w:val="24"/>
          <w:szCs w:val="24"/>
        </w:rPr>
        <w:t>Подтема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2.</w:t>
      </w:r>
      <w:r w:rsidRPr="009D43F2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9D43F2">
        <w:rPr>
          <w:rFonts w:ascii="Times New Roman" w:hAnsi="Times New Roman"/>
          <w:b/>
          <w:sz w:val="24"/>
          <w:szCs w:val="24"/>
        </w:rPr>
        <w:t xml:space="preserve">Исследование влияния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митохондриальн</w:t>
      </w:r>
      <w:proofErr w:type="gramStart"/>
      <w:r w:rsidRPr="009D43F2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9D43F2">
        <w:rPr>
          <w:rFonts w:ascii="Times New Roman" w:hAnsi="Times New Roman"/>
          <w:b/>
          <w:sz w:val="24"/>
          <w:szCs w:val="24"/>
        </w:rPr>
        <w:t xml:space="preserve"> направленного антиоксиданта на основе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пластохинона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b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1 и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разобщителя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С12</w:t>
      </w:r>
      <w:r w:rsidRPr="009D43F2">
        <w:rPr>
          <w:rFonts w:ascii="Times New Roman" w:hAnsi="Times New Roman"/>
          <w:b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b/>
          <w:sz w:val="24"/>
          <w:szCs w:val="24"/>
        </w:rPr>
        <w:t xml:space="preserve"> на индуцированную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липополисахаридом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провоспалительную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активацию макрофагов (линия </w:t>
      </w:r>
      <w:r w:rsidRPr="009D43F2">
        <w:rPr>
          <w:rFonts w:ascii="Times New Roman" w:hAnsi="Times New Roman"/>
          <w:b/>
          <w:sz w:val="24"/>
          <w:szCs w:val="24"/>
          <w:lang w:val="en-GB"/>
        </w:rPr>
        <w:t>THP</w:t>
      </w:r>
      <w:r w:rsidRPr="009D43F2">
        <w:rPr>
          <w:rFonts w:ascii="Times New Roman" w:hAnsi="Times New Roman"/>
          <w:b/>
          <w:sz w:val="24"/>
          <w:szCs w:val="24"/>
        </w:rPr>
        <w:t>-1).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Исследовали влияние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митохондриально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-направленного антиоксиданта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1 и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разобщителя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С12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 на активацию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в макрофагах, дифференцированных из моноцитов линии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THP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-1. Стимуляцию макрофагов осуществляли в два этапа: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праймирование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с помощью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липополисахарида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и активация (АТФ или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нигерицин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). Активность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определяли по уровню секреции цитокина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IL</w:t>
      </w:r>
      <w:r w:rsidRPr="009D43F2">
        <w:rPr>
          <w:rFonts w:ascii="Times New Roman" w:hAnsi="Times New Roman"/>
          <w:color w:val="000000"/>
          <w:sz w:val="24"/>
          <w:szCs w:val="24"/>
        </w:rPr>
        <w:t>-1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β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. Содержание цитокина в кондиционированной среде определяли методом ИФА. Показано, что предобработка дифференцированных клеток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THP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-1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1 перед добавлением активирующего сигнала приводит к достоверному увеличению активации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С12ТРР  и продукции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IL</w:t>
      </w:r>
      <w:r w:rsidRPr="009D43F2">
        <w:rPr>
          <w:rFonts w:ascii="Times New Roman" w:hAnsi="Times New Roman"/>
          <w:color w:val="000000"/>
          <w:sz w:val="24"/>
          <w:szCs w:val="24"/>
        </w:rPr>
        <w:t>-1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β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. Полученные данные свидетельствуют о том, что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мтАФК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ингибируют активацию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в макрофагах.</w:t>
      </w:r>
    </w:p>
    <w:p w:rsidR="001F572B" w:rsidRPr="009D43F2" w:rsidRDefault="001F572B" w:rsidP="008F6149">
      <w:pPr>
        <w:spacing w:after="160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1F572B" w:rsidRPr="009D43F2" w:rsidRDefault="001F572B" w:rsidP="00857A51">
      <w:pPr>
        <w:keepNext/>
        <w:keepLines/>
        <w:spacing w:after="0" w:line="360" w:lineRule="auto"/>
        <w:ind w:right="283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D43F2">
        <w:rPr>
          <w:rFonts w:ascii="Times New Roman" w:hAnsi="Times New Roman"/>
          <w:b/>
          <w:sz w:val="24"/>
          <w:szCs w:val="24"/>
        </w:rPr>
        <w:lastRenderedPageBreak/>
        <w:t>Подтема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3. Выявление половых гистофизиологических различий барьера толстой кишки у мышей  </w:t>
      </w:r>
      <w:r w:rsidRPr="009D43F2">
        <w:rPr>
          <w:rFonts w:ascii="Times New Roman" w:hAnsi="Times New Roman"/>
          <w:b/>
          <w:sz w:val="24"/>
          <w:szCs w:val="24"/>
          <w:lang w:val="en-US"/>
        </w:rPr>
        <w:t>C</w:t>
      </w:r>
      <w:r w:rsidRPr="009D43F2">
        <w:rPr>
          <w:rFonts w:ascii="Times New Roman" w:hAnsi="Times New Roman"/>
          <w:b/>
          <w:sz w:val="24"/>
          <w:szCs w:val="24"/>
        </w:rPr>
        <w:t>57</w:t>
      </w:r>
      <w:r w:rsidRPr="009D43F2">
        <w:rPr>
          <w:rFonts w:ascii="Times New Roman" w:hAnsi="Times New Roman"/>
          <w:b/>
          <w:sz w:val="24"/>
          <w:szCs w:val="24"/>
          <w:lang w:val="en-US"/>
        </w:rPr>
        <w:t>BL</w:t>
      </w:r>
      <w:r w:rsidRPr="009D43F2">
        <w:rPr>
          <w:rFonts w:ascii="Times New Roman" w:hAnsi="Times New Roman"/>
          <w:b/>
          <w:sz w:val="24"/>
          <w:szCs w:val="24"/>
        </w:rPr>
        <w:t xml:space="preserve">/6 при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стрессорном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холодовом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воздействии</w:t>
      </w:r>
      <w:r w:rsidRPr="009D43F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9D43F2">
        <w:rPr>
          <w:rFonts w:ascii="Times New Roman" w:hAnsi="Times New Roman"/>
          <w:sz w:val="24"/>
          <w:szCs w:val="24"/>
        </w:rPr>
        <w:t xml:space="preserve">После курсового холодового воздействия патологических изменений в ободочной кишке, изменений содержания клеточных элементов в слизистой оболочке, числа </w:t>
      </w:r>
      <w:proofErr w:type="spellStart"/>
      <w:r w:rsidRPr="009D43F2">
        <w:rPr>
          <w:rFonts w:ascii="Times New Roman" w:hAnsi="Times New Roman"/>
          <w:sz w:val="24"/>
          <w:szCs w:val="24"/>
        </w:rPr>
        <w:t>эндокринныхх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клеток, объемной доли бокаловидных клеток и содержания в них нейтральных и </w:t>
      </w:r>
      <w:proofErr w:type="spellStart"/>
      <w:r w:rsidRPr="009D43F2">
        <w:rPr>
          <w:rFonts w:ascii="Times New Roman" w:hAnsi="Times New Roman"/>
          <w:sz w:val="24"/>
          <w:szCs w:val="24"/>
        </w:rPr>
        <w:t>высокосульфатированных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муцинов после 14 дней ежедневного 10-20-ти минутного холодового воздействия не было выявлено ни у самцов, ни у самок мышей </w:t>
      </w:r>
      <w:r w:rsidRPr="009D43F2">
        <w:rPr>
          <w:rFonts w:ascii="Times New Roman" w:hAnsi="Times New Roman"/>
          <w:sz w:val="24"/>
          <w:szCs w:val="24"/>
          <w:lang w:val="en-US"/>
        </w:rPr>
        <w:t>C</w:t>
      </w:r>
      <w:r w:rsidRPr="009D43F2">
        <w:rPr>
          <w:rFonts w:ascii="Times New Roman" w:hAnsi="Times New Roman"/>
          <w:sz w:val="24"/>
          <w:szCs w:val="24"/>
        </w:rPr>
        <w:t>57</w:t>
      </w:r>
      <w:r w:rsidRPr="009D43F2">
        <w:rPr>
          <w:rFonts w:ascii="Times New Roman" w:hAnsi="Times New Roman"/>
          <w:sz w:val="24"/>
          <w:szCs w:val="24"/>
          <w:lang w:val="en-US"/>
        </w:rPr>
        <w:t>BL</w:t>
      </w:r>
      <w:r w:rsidRPr="009D43F2">
        <w:rPr>
          <w:rFonts w:ascii="Times New Roman" w:hAnsi="Times New Roman"/>
          <w:sz w:val="24"/>
          <w:szCs w:val="24"/>
        </w:rPr>
        <w:t>/6.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У самцов мышей контрольной и опытной группы объемная доля бокаловидных клеток была меньше, чем у самцов. Таким образом, в выбранном режиме  </w:t>
      </w:r>
      <w:proofErr w:type="spellStart"/>
      <w:r w:rsidRPr="009D43F2">
        <w:rPr>
          <w:rFonts w:ascii="Times New Roman" w:hAnsi="Times New Roman"/>
          <w:sz w:val="24"/>
          <w:szCs w:val="24"/>
        </w:rPr>
        <w:t>холодовое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воздействие не оказывало </w:t>
      </w:r>
      <w:proofErr w:type="spellStart"/>
      <w:r w:rsidRPr="009D43F2">
        <w:rPr>
          <w:rFonts w:ascii="Times New Roman" w:hAnsi="Times New Roman"/>
          <w:sz w:val="24"/>
          <w:szCs w:val="24"/>
        </w:rPr>
        <w:t>стрессорного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эффекта на </w:t>
      </w:r>
      <w:proofErr w:type="spellStart"/>
      <w:r w:rsidRPr="009D43F2">
        <w:rPr>
          <w:rFonts w:ascii="Times New Roman" w:hAnsi="Times New Roman"/>
          <w:sz w:val="24"/>
          <w:szCs w:val="24"/>
        </w:rPr>
        <w:t>гистофизиологию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эпителиального барьера ни у самцов, ни у самок.</w:t>
      </w:r>
    </w:p>
    <w:p w:rsidR="001F572B" w:rsidRPr="009D43F2" w:rsidRDefault="001F572B" w:rsidP="00FA28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Подтема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4.  Определение роли клеточной адгезии в эффективности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эпидермальной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дифференцировки из плюрипотентных стволовых клеток человека</w:t>
      </w: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.Плюрипотентные стволовые клетки человека способны дифференцироваться в клетки всех трех зародышевых листков, то есть во все соматические клетки. Проведено исследование влияния отдельных компонентов внеклеточного матрикса – коллагена </w:t>
      </w:r>
      <w:r w:rsidRPr="009D43F2">
        <w:rPr>
          <w:rFonts w:ascii="Times New Roman" w:hAnsi="Times New Roman"/>
          <w:noProof/>
          <w:color w:val="000000"/>
          <w:sz w:val="24"/>
          <w:szCs w:val="24"/>
          <w:lang w:val="en-US" w:eastAsia="ru-RU"/>
        </w:rPr>
        <w:t>IY</w:t>
      </w: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типа, фибронектина, ламинина </w:t>
      </w:r>
      <w:r w:rsidRPr="009D43F2">
        <w:rPr>
          <w:rFonts w:ascii="Times New Roman" w:hAnsi="Times New Roman"/>
          <w:noProof/>
          <w:sz w:val="24"/>
          <w:szCs w:val="24"/>
          <w:lang w:eastAsia="ru-RU"/>
        </w:rPr>
        <w:t xml:space="preserve">и витронектина </w:t>
      </w: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- на культивирование ИПСК человека и разработан протокол дифференцировки ИПСК в эпидермальном направлении. Для каждого из использованных матриксов была проведена оценка эффективности обеспечиваемой адгезии ИПСК и способности к поддержанию роста их колоний в течение нескольких пассажей, при этом наиболее эффективным при культивировании субстратом оказался ламинин. Разработан эффективный протокол эпидермальной дифференцировки плюрипотентных клеток. Полученные результаты будут использованы при создание тканевых эквивалентов кожи.</w:t>
      </w:r>
      <w:r w:rsidRPr="009D43F2">
        <w:rPr>
          <w:rFonts w:ascii="Times New Roman" w:hAnsi="Times New Roman"/>
          <w:sz w:val="24"/>
          <w:szCs w:val="24"/>
        </w:rPr>
        <w:t xml:space="preserve"> </w:t>
      </w:r>
    </w:p>
    <w:p w:rsidR="001F572B" w:rsidRPr="009D43F2" w:rsidRDefault="001F572B" w:rsidP="00AA137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ВВЕДЕНИЕ</w:t>
      </w:r>
    </w:p>
    <w:p w:rsidR="001F572B" w:rsidRPr="009D43F2" w:rsidRDefault="001F572B" w:rsidP="00FB51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t xml:space="preserve">Известно, что окислительный стресс и хроническое воспаление лежат в основе  развития многих заболеваний, таких как </w:t>
      </w:r>
      <w:proofErr w:type="spellStart"/>
      <w:r w:rsidRPr="009D43F2">
        <w:rPr>
          <w:rFonts w:ascii="Times New Roman" w:hAnsi="Times New Roman"/>
          <w:sz w:val="24"/>
          <w:szCs w:val="24"/>
        </w:rPr>
        <w:t>нейродегенеративные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D43F2">
        <w:rPr>
          <w:rFonts w:ascii="Times New Roman" w:hAnsi="Times New Roman"/>
          <w:sz w:val="24"/>
          <w:szCs w:val="24"/>
        </w:rPr>
        <w:t>сердечно-сосудистые</w:t>
      </w:r>
      <w:proofErr w:type="gramEnd"/>
      <w:r w:rsidRPr="009D43F2">
        <w:rPr>
          <w:rFonts w:ascii="Times New Roman" w:hAnsi="Times New Roman"/>
          <w:sz w:val="24"/>
          <w:szCs w:val="24"/>
        </w:rPr>
        <w:t>, опухолевые, сахарный диабет I и II типов, метаболический синдром и др. (</w:t>
      </w:r>
      <w:proofErr w:type="spellStart"/>
      <w:r w:rsidRPr="009D43F2">
        <w:rPr>
          <w:rFonts w:ascii="Times New Roman" w:hAnsi="Times New Roman"/>
          <w:sz w:val="24"/>
          <w:szCs w:val="24"/>
        </w:rPr>
        <w:t>Murphy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43F2">
        <w:rPr>
          <w:rFonts w:ascii="Times New Roman" w:hAnsi="Times New Roman"/>
          <w:sz w:val="24"/>
          <w:szCs w:val="24"/>
        </w:rPr>
        <w:t>Smith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, 2007; </w:t>
      </w:r>
      <w:proofErr w:type="spellStart"/>
      <w:r w:rsidRPr="009D43F2">
        <w:rPr>
          <w:rFonts w:ascii="Times New Roman" w:hAnsi="Times New Roman"/>
          <w:sz w:val="24"/>
          <w:szCs w:val="24"/>
        </w:rPr>
        <w:t>Scrivo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et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al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., 2011). В  развитии и регуляции воспалительных реакций ключевую роль отводят клетками врожденного иммунитета, в первую очередь, макрофагам и тучными клеткам. Расположенные на их поверхности рецепторы </w:t>
      </w:r>
      <w:proofErr w:type="spellStart"/>
      <w:r w:rsidRPr="009D43F2">
        <w:rPr>
          <w:rFonts w:ascii="Times New Roman" w:hAnsi="Times New Roman"/>
          <w:sz w:val="24"/>
          <w:szCs w:val="24"/>
        </w:rPr>
        <w:t>PRRs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распознают экзогенные (патогены, аллергены, </w:t>
      </w:r>
      <w:proofErr w:type="spellStart"/>
      <w:r w:rsidRPr="009D43F2">
        <w:rPr>
          <w:rFonts w:ascii="Times New Roman" w:hAnsi="Times New Roman"/>
          <w:sz w:val="24"/>
          <w:szCs w:val="24"/>
        </w:rPr>
        <w:t>ирританты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, инородные и токсические вещества) и эндогенные сигнальные молекулы - </w:t>
      </w:r>
      <w:proofErr w:type="spellStart"/>
      <w:r w:rsidRPr="009D43F2">
        <w:rPr>
          <w:rFonts w:ascii="Times New Roman" w:hAnsi="Times New Roman"/>
          <w:sz w:val="24"/>
          <w:szCs w:val="24"/>
        </w:rPr>
        <w:t>алармины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Medzhitov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, 2008; </w:t>
      </w:r>
      <w:r w:rsidRPr="009D43F2">
        <w:rPr>
          <w:rFonts w:ascii="Times New Roman" w:hAnsi="Times New Roman"/>
          <w:sz w:val="24"/>
          <w:szCs w:val="24"/>
          <w:lang w:val="en-US"/>
        </w:rPr>
        <w:t>Ahmed</w:t>
      </w:r>
      <w:r w:rsidRPr="009D43F2">
        <w:rPr>
          <w:rFonts w:ascii="Times New Roman" w:hAnsi="Times New Roman"/>
          <w:sz w:val="24"/>
          <w:szCs w:val="24"/>
        </w:rPr>
        <w:t xml:space="preserve">, 2011; </w:t>
      </w:r>
      <w:r w:rsidRPr="009D43F2">
        <w:rPr>
          <w:rFonts w:ascii="Times New Roman" w:hAnsi="Times New Roman"/>
          <w:sz w:val="24"/>
          <w:szCs w:val="24"/>
          <w:lang w:val="en-US"/>
        </w:rPr>
        <w:t>Ito</w:t>
      </w:r>
      <w:r w:rsidRPr="009D43F2">
        <w:rPr>
          <w:rFonts w:ascii="Times New Roman" w:hAnsi="Times New Roman"/>
          <w:color w:val="000000"/>
          <w:sz w:val="24"/>
          <w:szCs w:val="24"/>
        </w:rPr>
        <w:t>, 2014</w:t>
      </w:r>
      <w:r w:rsidRPr="009D43F2">
        <w:rPr>
          <w:rFonts w:ascii="Times New Roman" w:hAnsi="Times New Roman"/>
          <w:sz w:val="24"/>
          <w:szCs w:val="24"/>
        </w:rPr>
        <w:t>).  Однако</w:t>
      </w:r>
      <w:proofErr w:type="gramStart"/>
      <w:r w:rsidRPr="009D43F2">
        <w:rPr>
          <w:rFonts w:ascii="Times New Roman" w:hAnsi="Times New Roman"/>
          <w:sz w:val="24"/>
          <w:szCs w:val="24"/>
        </w:rPr>
        <w:t>,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не все индукторы воспаления напрямую распознаются рецепторами </w:t>
      </w:r>
      <w:proofErr w:type="spellStart"/>
      <w:r w:rsidRPr="009D43F2">
        <w:rPr>
          <w:rFonts w:ascii="Times New Roman" w:hAnsi="Times New Roman"/>
          <w:sz w:val="24"/>
          <w:szCs w:val="24"/>
        </w:rPr>
        <w:t>PRRs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. К ним относится ряд бактериальных токсинов, вирусов, абиотических материалов и эндогенных факторов, </w:t>
      </w:r>
      <w:r w:rsidRPr="009D43F2">
        <w:rPr>
          <w:rFonts w:ascii="Times New Roman" w:hAnsi="Times New Roman"/>
          <w:sz w:val="24"/>
          <w:szCs w:val="24"/>
        </w:rPr>
        <w:lastRenderedPageBreak/>
        <w:t>среди которых мочевая кислота, холестерин, РНК и др., а также изменение внутриклеточной концентрац</w:t>
      </w:r>
      <w:proofErr w:type="gramStart"/>
      <w:r w:rsidRPr="009D43F2">
        <w:rPr>
          <w:rFonts w:ascii="Times New Roman" w:hAnsi="Times New Roman"/>
          <w:sz w:val="24"/>
          <w:szCs w:val="24"/>
        </w:rPr>
        <w:t>ии ио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нов </w:t>
      </w:r>
      <w:r w:rsidRPr="009D43F2">
        <w:rPr>
          <w:rFonts w:ascii="Times New Roman" w:hAnsi="Times New Roman"/>
          <w:sz w:val="24"/>
          <w:szCs w:val="24"/>
          <w:lang w:val="en-US"/>
        </w:rPr>
        <w:t>K</w:t>
      </w:r>
      <w:r w:rsidRPr="009D43F2">
        <w:rPr>
          <w:rFonts w:ascii="Times New Roman" w:hAnsi="Times New Roman"/>
          <w:sz w:val="24"/>
          <w:szCs w:val="24"/>
          <w:vertAlign w:val="superscript"/>
        </w:rPr>
        <w:t>+</w:t>
      </w:r>
      <w:r w:rsidRPr="009D43F2">
        <w:rPr>
          <w:rFonts w:ascii="Times New Roman" w:hAnsi="Times New Roman"/>
          <w:sz w:val="24"/>
          <w:szCs w:val="24"/>
        </w:rPr>
        <w:t xml:space="preserve">. Распознавание указанных молекул сопровождается активацией </w:t>
      </w:r>
      <w:proofErr w:type="spellStart"/>
      <w:r w:rsidRPr="009D43F2">
        <w:rPr>
          <w:rFonts w:ascii="Times New Roman" w:hAnsi="Times New Roman"/>
          <w:sz w:val="24"/>
          <w:szCs w:val="24"/>
        </w:rPr>
        <w:t>инфламмасоммы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, представляющих собой </w:t>
      </w:r>
      <w:proofErr w:type="spellStart"/>
      <w:r w:rsidRPr="009D43F2">
        <w:rPr>
          <w:rFonts w:ascii="Times New Roman" w:hAnsi="Times New Roman"/>
          <w:sz w:val="24"/>
          <w:szCs w:val="24"/>
        </w:rPr>
        <w:t>цитозольный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мультибелковый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комплекс, </w:t>
      </w:r>
      <w:proofErr w:type="spellStart"/>
      <w:r w:rsidRPr="009D43F2">
        <w:rPr>
          <w:rFonts w:ascii="Times New Roman" w:hAnsi="Times New Roman"/>
          <w:sz w:val="24"/>
          <w:szCs w:val="24"/>
        </w:rPr>
        <w:t>эксрессирующийся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в клетках врожденного иммунитета и регулирующий активацию </w:t>
      </w:r>
      <w:proofErr w:type="spellStart"/>
      <w:r w:rsidRPr="009D43F2">
        <w:rPr>
          <w:rFonts w:ascii="Times New Roman" w:hAnsi="Times New Roman"/>
          <w:sz w:val="24"/>
          <w:szCs w:val="24"/>
        </w:rPr>
        <w:t>цистеиновой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протеазы каспазы-1. Каспаза-1, в свою очередь, стимулирует продукцию </w:t>
      </w:r>
      <w:proofErr w:type="spellStart"/>
      <w:r w:rsidRPr="009D43F2">
        <w:rPr>
          <w:rFonts w:ascii="Times New Roman" w:hAnsi="Times New Roman"/>
          <w:sz w:val="24"/>
          <w:szCs w:val="24"/>
        </w:rPr>
        <w:t>провоспалительных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цитокинов IL-1β и IL-18 путем протеолитического расщепления их предшественников. Данные цитокины запускают внутриклеточный </w:t>
      </w:r>
      <w:r w:rsidRPr="009D43F2">
        <w:rPr>
          <w:rFonts w:ascii="Times New Roman" w:hAnsi="Times New Roman"/>
          <w:sz w:val="24"/>
          <w:szCs w:val="24"/>
          <w:lang w:val="en-US"/>
        </w:rPr>
        <w:t>MAPK</w:t>
      </w:r>
      <w:r w:rsidRPr="009D43F2">
        <w:rPr>
          <w:rFonts w:ascii="Times New Roman" w:hAnsi="Times New Roman"/>
          <w:sz w:val="24"/>
          <w:szCs w:val="24"/>
        </w:rPr>
        <w:t xml:space="preserve">-сигнальный каскад, ведущий к активации ядерного транскрипционного фактора </w:t>
      </w:r>
      <w:r w:rsidRPr="009D43F2">
        <w:rPr>
          <w:rFonts w:ascii="Times New Roman" w:hAnsi="Times New Roman"/>
          <w:sz w:val="24"/>
          <w:szCs w:val="24"/>
          <w:lang w:val="en-US"/>
        </w:rPr>
        <w:t>NF</w:t>
      </w:r>
      <w:r w:rsidRPr="009D43F2">
        <w:rPr>
          <w:rFonts w:ascii="Times New Roman" w:hAnsi="Times New Roman"/>
          <w:sz w:val="24"/>
          <w:szCs w:val="24"/>
        </w:rPr>
        <w:t>-</w:t>
      </w:r>
      <w:proofErr w:type="spellStart"/>
      <w:r w:rsidRPr="009D43F2">
        <w:rPr>
          <w:rFonts w:ascii="Times New Roman" w:hAnsi="Times New Roman"/>
          <w:sz w:val="24"/>
          <w:szCs w:val="24"/>
        </w:rPr>
        <w:t>κB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(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Masters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, 2008;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Medzhitov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>, 2008</w:t>
      </w:r>
      <w:r w:rsidRPr="009D43F2">
        <w:rPr>
          <w:rFonts w:ascii="Times New Roman" w:hAnsi="Times New Roman"/>
          <w:sz w:val="24"/>
          <w:szCs w:val="24"/>
        </w:rPr>
        <w:t>).</w:t>
      </w:r>
      <w:r w:rsidRPr="009D43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572B" w:rsidRPr="009D43F2" w:rsidRDefault="001F572B" w:rsidP="009845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t>Активированные макрофаги и тучные клетки секретируют различные воспалительные медиаторы, которые стимулируют процесс формирования воспалительного экссудата, обусловленного притоком белков плазмы и привлечением лейкоцитов в очаг повреждения (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Galli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9D43F2">
        <w:rPr>
          <w:rFonts w:ascii="Times New Roman" w:hAnsi="Times New Roman"/>
          <w:color w:val="000000"/>
          <w:sz w:val="24"/>
          <w:szCs w:val="24"/>
        </w:rPr>
        <w:t>., 2011</w:t>
      </w:r>
      <w:r w:rsidRPr="009D43F2">
        <w:rPr>
          <w:rFonts w:ascii="Times New Roman" w:hAnsi="Times New Roman"/>
          <w:sz w:val="24"/>
          <w:szCs w:val="24"/>
        </w:rPr>
        <w:t xml:space="preserve">). В последние годы появляется все больше данных, свидетельствующих об участии митохондрий в активации тучных клеток и макрофагов. 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Митохондрии могут участвовать в передаче внутриклеточных сигнальных путей посредством регуляции уровня АТФ, активных форм кислорода (АФК) и кальция. В качестве инструментов для изучения роли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митохондриальных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АФК в различных процессах используют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митохондриально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-направленные антиоксиданты. Одним из перспективных антиоксидантов такого рода является 10-(6'-пластохинонил)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децилтрифенилфосфония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бромид (SkQ1), накапливающийся в митохондриях благодаря остатку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липофильного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катиона (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Antonenko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., 2008). Кроме того, в качестве агентов, снижающих уровень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митохондриальных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АФК можно использовать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разобщители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. Это связано с тем, что АФК, </w:t>
      </w:r>
      <w:proofErr w:type="gramStart"/>
      <w:r w:rsidRPr="009D43F2">
        <w:rPr>
          <w:rFonts w:ascii="Times New Roman" w:hAnsi="Times New Roman"/>
          <w:color w:val="000000"/>
          <w:sz w:val="24"/>
          <w:szCs w:val="24"/>
        </w:rPr>
        <w:t>вырабатываемые</w:t>
      </w:r>
      <w:proofErr w:type="gramEnd"/>
      <w:r w:rsidRPr="009D43F2">
        <w:rPr>
          <w:rFonts w:ascii="Times New Roman" w:hAnsi="Times New Roman"/>
          <w:color w:val="000000"/>
          <w:sz w:val="24"/>
          <w:szCs w:val="24"/>
        </w:rPr>
        <w:t xml:space="preserve"> митохондриями, крайне чувствительны к уровню трансмембранного потенциала. «Мягкое разобщение» применяется сейчас в качестве защиты клетки от окислительного стресса, так как снижение потенциала митохондрий, сопровождаются уменьшением  АФК в клетке  (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Shabalina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, 2014). Выделяют классические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протонофорные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разобщители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(ДНФ, FCCP), а также проникающие катионы на основе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трифенилфосфония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(C12TPP) и родамина-19 (C4R1) (Ромащенко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, 2015; Захарова, 2016). </w:t>
      </w:r>
      <w:r w:rsidRPr="009D43F2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9D43F2">
        <w:rPr>
          <w:rFonts w:ascii="Times New Roman" w:hAnsi="Times New Roman"/>
          <w:sz w:val="24"/>
          <w:szCs w:val="24"/>
        </w:rPr>
        <w:t>митохондриальных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активных форм кислорода (</w:t>
      </w:r>
      <w:proofErr w:type="spellStart"/>
      <w:r w:rsidRPr="009D43F2">
        <w:rPr>
          <w:rFonts w:ascii="Times New Roman" w:hAnsi="Times New Roman"/>
          <w:sz w:val="24"/>
          <w:szCs w:val="24"/>
        </w:rPr>
        <w:t>мтАФК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) в процессах локального и системного острого воспаления изучена недостаточно.  </w:t>
      </w:r>
    </w:p>
    <w:p w:rsidR="001F572B" w:rsidRPr="009D43F2" w:rsidRDefault="001F572B" w:rsidP="00FE745E">
      <w:pPr>
        <w:keepNext/>
        <w:keepLines/>
        <w:spacing w:after="0" w:line="360" w:lineRule="auto"/>
        <w:ind w:right="283"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lastRenderedPageBreak/>
        <w:t xml:space="preserve">Известно, что стресс может способствовать развитию различных заболеваний кишечника, таких как синдром раздраженной кишки, болезнь Крона, язвенный колит. Еще </w:t>
      </w:r>
      <w:proofErr w:type="spellStart"/>
      <w:r w:rsidRPr="009D43F2">
        <w:rPr>
          <w:rFonts w:ascii="Times New Roman" w:hAnsi="Times New Roman"/>
          <w:sz w:val="24"/>
          <w:szCs w:val="24"/>
          <w:lang w:val="en-US"/>
        </w:rPr>
        <w:t>Selye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(1936) показал, что стресс, вне зависимости от природы </w:t>
      </w:r>
      <w:proofErr w:type="spellStart"/>
      <w:r w:rsidRPr="009D43F2">
        <w:rPr>
          <w:rFonts w:ascii="Times New Roman" w:hAnsi="Times New Roman"/>
          <w:sz w:val="24"/>
          <w:szCs w:val="24"/>
        </w:rPr>
        <w:t>стрессорного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фактора, вызывает ряд однотипных морфологических изменений: гипертрофию надпочечников, инволюцию тимуса и лимфатических узлов, а также изъязвления по ходу желудочно-кишечного тракта</w:t>
      </w:r>
      <w:r w:rsidRPr="009D43F2">
        <w:rPr>
          <w:rFonts w:ascii="Times New Roman" w:hAnsi="Times New Roman"/>
          <w:bCs/>
          <w:sz w:val="24"/>
          <w:szCs w:val="24"/>
        </w:rPr>
        <w:t xml:space="preserve">. Однако частота возникновения и тяжесть течения инфекционно-воспалительных и аутоиммунных заболеваний у мужчин и женщин различается, что обусловлено кариотипом и содержанием половых гормонов. В связи </w:t>
      </w:r>
      <w:proofErr w:type="gramStart"/>
      <w:r w:rsidRPr="009D43F2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9D43F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D43F2">
        <w:rPr>
          <w:rFonts w:ascii="Times New Roman" w:hAnsi="Times New Roman"/>
          <w:bCs/>
          <w:sz w:val="24"/>
          <w:szCs w:val="24"/>
        </w:rPr>
        <w:t>изложенным</w:t>
      </w:r>
      <w:proofErr w:type="gramEnd"/>
      <w:r w:rsidRPr="009D43F2">
        <w:rPr>
          <w:rFonts w:ascii="Times New Roman" w:hAnsi="Times New Roman"/>
          <w:bCs/>
          <w:sz w:val="24"/>
          <w:szCs w:val="24"/>
        </w:rPr>
        <w:t xml:space="preserve">, целью работы стало изучение морфофункциональных изменений ободочной кишки при </w:t>
      </w:r>
      <w:proofErr w:type="spellStart"/>
      <w:r w:rsidRPr="009D43F2">
        <w:rPr>
          <w:rFonts w:ascii="Times New Roman" w:hAnsi="Times New Roman"/>
          <w:bCs/>
          <w:sz w:val="24"/>
          <w:szCs w:val="24"/>
        </w:rPr>
        <w:t>холодовом</w:t>
      </w:r>
      <w:proofErr w:type="spellEnd"/>
      <w:r w:rsidRPr="009D43F2">
        <w:rPr>
          <w:rFonts w:ascii="Times New Roman" w:hAnsi="Times New Roman"/>
          <w:bCs/>
          <w:sz w:val="24"/>
          <w:szCs w:val="24"/>
        </w:rPr>
        <w:t xml:space="preserve"> стрессе у самцов и самок мышей С57</w:t>
      </w:r>
      <w:r w:rsidRPr="009D43F2">
        <w:rPr>
          <w:rFonts w:ascii="Times New Roman" w:hAnsi="Times New Roman"/>
          <w:bCs/>
          <w:sz w:val="24"/>
          <w:szCs w:val="24"/>
          <w:lang w:val="en-US"/>
        </w:rPr>
        <w:t>BL</w:t>
      </w:r>
      <w:r w:rsidRPr="009D43F2">
        <w:rPr>
          <w:rFonts w:ascii="Times New Roman" w:hAnsi="Times New Roman"/>
          <w:bCs/>
          <w:sz w:val="24"/>
          <w:szCs w:val="24"/>
        </w:rPr>
        <w:t>/6.</w:t>
      </w:r>
    </w:p>
    <w:p w:rsidR="001F572B" w:rsidRPr="009D43F2" w:rsidRDefault="001F572B" w:rsidP="00FE745E">
      <w:pPr>
        <w:keepNext/>
        <w:keepLines/>
        <w:spacing w:after="0" w:line="360" w:lineRule="auto"/>
        <w:ind w:right="283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Плюрипотентные стволовые клетки могут быть использованы  для получения в лабораторных условиях потенциально любых типов клеток взрослого организма, пригодных для создания трехмерных органоспецифических конструкций, позволяющих изучать межклеточные взаимодействия в развитии и гомеостазе тканей. Моделирование процессов морфо- и органогенеза в культуре с использованием эмбриональных стволовых клеток человека в значительной мере способствовало изучению основ эмбриогенеза тканей человека, исследование которых затруднено в виду этических норм, связанных с доступом к абортивному материалу и ограничениями при работе с эмбрионами человека. Разработанные протоколы направленной дифференцировки позволили выявить ключевые молекулярные регуляторные сети, регулирующие потентность как плюрипотентных, так и тканеспецифических стволовых клеток. Важным событием, значительно расширившим сферу применения плюрипотентных клеток человека, стало получение индуцированных плюрипотентных стволовых клеток человека (ИПСК) лабораторией Яманаки в 2006 году. При помощи ИПСК стало возможным осуществлять пациент-специфический подбор лекарственных препаратов, что внесло важный вклад в развитие персонализированной медицины. Также ИПСК, полученные от доноров с генетическими заболеваниями, могут использоваться для моделирования и разработки подходов к лечению этих заболеваний in vitro. В настощее время </w:t>
      </w:r>
      <w:r w:rsidRPr="009D43F2">
        <w:rPr>
          <w:rFonts w:ascii="Times New Roman" w:hAnsi="Times New Roman"/>
          <w:sz w:val="24"/>
          <w:szCs w:val="24"/>
        </w:rPr>
        <w:t xml:space="preserve">влияние отдельных компонентов внеклеточного матрикса на культивирование ИПСК человека </w:t>
      </w:r>
      <w:proofErr w:type="spellStart"/>
      <w:r w:rsidRPr="009D43F2">
        <w:rPr>
          <w:rFonts w:ascii="Times New Roman" w:hAnsi="Times New Roman"/>
          <w:sz w:val="24"/>
          <w:szCs w:val="24"/>
        </w:rPr>
        <w:t>недостачно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изучено и не разработан протокол их дифференцировки в </w:t>
      </w:r>
      <w:proofErr w:type="spellStart"/>
      <w:r w:rsidRPr="009D43F2">
        <w:rPr>
          <w:rFonts w:ascii="Times New Roman" w:hAnsi="Times New Roman"/>
          <w:sz w:val="24"/>
          <w:szCs w:val="24"/>
        </w:rPr>
        <w:t>эпидермальном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направлении. </w:t>
      </w:r>
    </w:p>
    <w:p w:rsidR="001F572B" w:rsidRPr="009D43F2" w:rsidRDefault="001F572B" w:rsidP="00630A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F572B" w:rsidRPr="009D43F2" w:rsidRDefault="001F572B" w:rsidP="00FA28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72B" w:rsidRPr="009D43F2" w:rsidRDefault="001F572B" w:rsidP="00FA28B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72B" w:rsidRPr="009D43F2" w:rsidRDefault="001F572B" w:rsidP="00FA28BA">
      <w:pPr>
        <w:keepNext/>
        <w:keepLines/>
        <w:spacing w:after="0" w:line="360" w:lineRule="auto"/>
        <w:ind w:right="283" w:firstLine="709"/>
        <w:jc w:val="center"/>
        <w:outlineLvl w:val="1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1F572B" w:rsidRPr="009D43F2" w:rsidRDefault="001F572B" w:rsidP="00857A51">
      <w:pPr>
        <w:keepNext/>
        <w:keepLines/>
        <w:spacing w:after="0" w:line="360" w:lineRule="auto"/>
        <w:ind w:right="283" w:firstLine="709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F572B" w:rsidRPr="009D43F2" w:rsidRDefault="001F572B" w:rsidP="004F59C1">
      <w:pPr>
        <w:keepNext/>
        <w:keepLines/>
        <w:spacing w:after="0" w:line="360" w:lineRule="auto"/>
        <w:ind w:right="283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D43F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ОСНОВНАЯ ЧАСТЬ</w:t>
      </w:r>
    </w:p>
    <w:p w:rsidR="001F572B" w:rsidRPr="009D43F2" w:rsidRDefault="001F572B" w:rsidP="0073794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D43F2">
        <w:rPr>
          <w:rFonts w:ascii="Times New Roman" w:hAnsi="Times New Roman"/>
          <w:b/>
          <w:sz w:val="24"/>
          <w:szCs w:val="24"/>
        </w:rPr>
        <w:t>Подтема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1. Исследование противоаллергических свойств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митохондриальн</w:t>
      </w:r>
      <w:proofErr w:type="gramStart"/>
      <w:r w:rsidRPr="009D43F2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9D43F2">
        <w:rPr>
          <w:rFonts w:ascii="Times New Roman" w:hAnsi="Times New Roman"/>
          <w:b/>
          <w:sz w:val="24"/>
          <w:szCs w:val="24"/>
        </w:rPr>
        <w:t xml:space="preserve"> направленного антиоксиданта на основе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пластохинона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SkQ1 и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разобщителя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С12TPP в моделях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in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vitro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in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vivo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>.</w:t>
      </w:r>
    </w:p>
    <w:p w:rsidR="001F572B" w:rsidRPr="009D43F2" w:rsidRDefault="001F572B" w:rsidP="004F59C1">
      <w:pPr>
        <w:spacing w:after="160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43F2">
        <w:rPr>
          <w:rFonts w:ascii="Times New Roman" w:hAnsi="Times New Roman"/>
          <w:sz w:val="24"/>
          <w:szCs w:val="24"/>
        </w:rPr>
        <w:t xml:space="preserve">В системе  </w:t>
      </w:r>
      <w:r w:rsidRPr="009D43F2">
        <w:rPr>
          <w:rFonts w:ascii="Times New Roman" w:hAnsi="Times New Roman"/>
          <w:sz w:val="24"/>
          <w:szCs w:val="24"/>
          <w:lang w:val="en-US"/>
        </w:rPr>
        <w:t>in</w:t>
      </w:r>
      <w:r w:rsidRPr="009D43F2">
        <w:rPr>
          <w:rFonts w:ascii="Times New Roman" w:hAnsi="Times New Roman"/>
          <w:sz w:val="24"/>
          <w:szCs w:val="24"/>
        </w:rPr>
        <w:t xml:space="preserve"> </w:t>
      </w:r>
      <w:r w:rsidRPr="009D43F2">
        <w:rPr>
          <w:rFonts w:ascii="Times New Roman" w:hAnsi="Times New Roman"/>
          <w:sz w:val="24"/>
          <w:szCs w:val="24"/>
          <w:lang w:val="en-US"/>
        </w:rPr>
        <w:t>vitro</w:t>
      </w:r>
      <w:r w:rsidRPr="009D43F2">
        <w:rPr>
          <w:rFonts w:ascii="Times New Roman" w:hAnsi="Times New Roman"/>
          <w:sz w:val="24"/>
          <w:szCs w:val="24"/>
        </w:rPr>
        <w:t xml:space="preserve"> изучены механизмы активации тучных клеток и базофилов  Антиген-зависимую активацию клеток осуществляли в два этапа: предварительная сенсибилизация клеток с помощью мышиных </w:t>
      </w:r>
      <w:proofErr w:type="spellStart"/>
      <w:r w:rsidRPr="009D43F2">
        <w:rPr>
          <w:rFonts w:ascii="Times New Roman" w:hAnsi="Times New Roman"/>
          <w:sz w:val="24"/>
          <w:szCs w:val="24"/>
        </w:rPr>
        <w:t>моноклональных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антител </w:t>
      </w:r>
      <w:proofErr w:type="spellStart"/>
      <w:r w:rsidRPr="009D43F2">
        <w:rPr>
          <w:rFonts w:ascii="Times New Roman" w:hAnsi="Times New Roman"/>
          <w:sz w:val="24"/>
          <w:szCs w:val="24"/>
        </w:rPr>
        <w:t>изотипа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IgE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против </w:t>
      </w:r>
      <w:proofErr w:type="spellStart"/>
      <w:r w:rsidRPr="009D43F2">
        <w:rPr>
          <w:rFonts w:ascii="Times New Roman" w:hAnsi="Times New Roman"/>
          <w:sz w:val="24"/>
          <w:szCs w:val="24"/>
        </w:rPr>
        <w:t>динитрофенила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D43F2">
        <w:rPr>
          <w:rFonts w:ascii="Times New Roman" w:hAnsi="Times New Roman"/>
          <w:sz w:val="24"/>
          <w:szCs w:val="24"/>
        </w:rPr>
        <w:t>anti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-DNP </w:t>
      </w:r>
      <w:proofErr w:type="spellStart"/>
      <w:r w:rsidRPr="009D43F2">
        <w:rPr>
          <w:rFonts w:ascii="Times New Roman" w:hAnsi="Times New Roman"/>
          <w:sz w:val="24"/>
          <w:szCs w:val="24"/>
        </w:rPr>
        <w:t>IgE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) с последующей стимуляцией  </w:t>
      </w:r>
      <w:proofErr w:type="spellStart"/>
      <w:r w:rsidRPr="009D43F2">
        <w:rPr>
          <w:rFonts w:ascii="Times New Roman" w:hAnsi="Times New Roman"/>
          <w:sz w:val="24"/>
          <w:szCs w:val="24"/>
        </w:rPr>
        <w:t>конъюгата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динитрофенила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с бычьим сывороточным альбумином DNP-BSA).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Уровень </w:t>
      </w:r>
      <w:proofErr w:type="spellStart"/>
      <w:r w:rsidRPr="009D43F2">
        <w:rPr>
          <w:rFonts w:ascii="Times New Roman" w:hAnsi="Times New Roman"/>
          <w:sz w:val="24"/>
          <w:szCs w:val="24"/>
        </w:rPr>
        <w:t>дегрануляции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оценивали с помощью выявления </w:t>
      </w:r>
      <w:proofErr w:type="gramStart"/>
      <w:r w:rsidRPr="009D43F2">
        <w:rPr>
          <w:rFonts w:ascii="Times New Roman" w:hAnsi="Times New Roman"/>
          <w:sz w:val="24"/>
          <w:szCs w:val="24"/>
        </w:rPr>
        <w:t>β-</w:t>
      </w:r>
      <w:proofErr w:type="spellStart"/>
      <w:proofErr w:type="gramEnd"/>
      <w:r w:rsidRPr="009D43F2">
        <w:rPr>
          <w:rFonts w:ascii="Times New Roman" w:hAnsi="Times New Roman"/>
          <w:sz w:val="24"/>
          <w:szCs w:val="24"/>
        </w:rPr>
        <w:t>гексозаминидазы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в кондиционированной среде и </w:t>
      </w:r>
      <w:proofErr w:type="spellStart"/>
      <w:r w:rsidRPr="009D43F2">
        <w:rPr>
          <w:rFonts w:ascii="Times New Roman" w:hAnsi="Times New Roman"/>
          <w:sz w:val="24"/>
          <w:szCs w:val="24"/>
        </w:rPr>
        <w:t>лизате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клеток. Количество </w:t>
      </w:r>
      <w:proofErr w:type="gramStart"/>
      <w:r w:rsidRPr="009D43F2">
        <w:rPr>
          <w:rFonts w:ascii="Times New Roman" w:hAnsi="Times New Roman"/>
          <w:sz w:val="24"/>
          <w:szCs w:val="24"/>
        </w:rPr>
        <w:t>β-</w:t>
      </w:r>
      <w:proofErr w:type="spellStart"/>
      <w:proofErr w:type="gramEnd"/>
      <w:r w:rsidRPr="009D43F2">
        <w:rPr>
          <w:rFonts w:ascii="Times New Roman" w:hAnsi="Times New Roman"/>
          <w:sz w:val="24"/>
          <w:szCs w:val="24"/>
        </w:rPr>
        <w:t>гексозаминидазы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определяли по высвобождению р-нитрофенола из 4-нитрофенил-N-ацетил-β-D-</w:t>
      </w:r>
      <w:proofErr w:type="spellStart"/>
      <w:r w:rsidRPr="009D43F2">
        <w:rPr>
          <w:rFonts w:ascii="Times New Roman" w:hAnsi="Times New Roman"/>
          <w:sz w:val="24"/>
          <w:szCs w:val="24"/>
        </w:rPr>
        <w:t>глюкозаминида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по стандартной методике (</w:t>
      </w:r>
      <w:proofErr w:type="spellStart"/>
      <w:r w:rsidRPr="009D43F2">
        <w:rPr>
          <w:rFonts w:ascii="Times New Roman" w:hAnsi="Times New Roman"/>
          <w:sz w:val="24"/>
          <w:szCs w:val="24"/>
        </w:rPr>
        <w:t>Radinger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et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al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., 2015). Показано, что предварительная инкубация  опухолевых тучных клеток линии RBL-2H3 с </w:t>
      </w:r>
      <w:proofErr w:type="spellStart"/>
      <w:r w:rsidRPr="009D43F2">
        <w:rPr>
          <w:rFonts w:ascii="Times New Roman" w:hAnsi="Times New Roman"/>
          <w:sz w:val="24"/>
          <w:szCs w:val="24"/>
        </w:rPr>
        <w:t>митохондриально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-направленным антиоксидантом SkQ1 в концентрациях от 0,2 до 200 </w:t>
      </w:r>
      <w:proofErr w:type="spellStart"/>
      <w:r w:rsidRPr="009D43F2">
        <w:rPr>
          <w:rFonts w:ascii="Times New Roman" w:hAnsi="Times New Roman"/>
          <w:sz w:val="24"/>
          <w:szCs w:val="24"/>
        </w:rPr>
        <w:t>нМ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D43F2">
        <w:rPr>
          <w:rFonts w:ascii="Times New Roman" w:hAnsi="Times New Roman"/>
          <w:sz w:val="24"/>
          <w:szCs w:val="24"/>
        </w:rPr>
        <w:t>разобщителем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С12</w:t>
      </w:r>
      <w:r w:rsidRPr="009D43F2">
        <w:rPr>
          <w:rFonts w:ascii="Times New Roman" w:hAnsi="Times New Roman"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sz w:val="24"/>
          <w:szCs w:val="24"/>
        </w:rPr>
        <w:t xml:space="preserve"> в концентрации 0,2 </w:t>
      </w:r>
      <w:proofErr w:type="spellStart"/>
      <w:r w:rsidRPr="009D43F2">
        <w:rPr>
          <w:rFonts w:ascii="Times New Roman" w:hAnsi="Times New Roman"/>
          <w:sz w:val="24"/>
          <w:szCs w:val="24"/>
        </w:rPr>
        <w:t>нМ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течение 72 часов приводит к снижению уровня </w:t>
      </w:r>
      <w:proofErr w:type="gramStart"/>
      <w:r w:rsidRPr="009D43F2">
        <w:rPr>
          <w:rFonts w:ascii="Times New Roman" w:hAnsi="Times New Roman"/>
          <w:sz w:val="24"/>
          <w:szCs w:val="24"/>
        </w:rPr>
        <w:t>антиген-зависимой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дегрануляции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на 20-30%. Это свидетельствует об участии </w:t>
      </w:r>
      <w:proofErr w:type="spellStart"/>
      <w:r w:rsidRPr="009D43F2">
        <w:rPr>
          <w:rFonts w:ascii="Times New Roman" w:hAnsi="Times New Roman"/>
          <w:sz w:val="24"/>
          <w:szCs w:val="24"/>
        </w:rPr>
        <w:t>мтАФК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в активации тучных клеток. Ранее было показано, что </w:t>
      </w:r>
      <w:proofErr w:type="spellStart"/>
      <w:r w:rsidRPr="009D43F2">
        <w:rPr>
          <w:rFonts w:ascii="Times New Roman" w:hAnsi="Times New Roman"/>
          <w:sz w:val="24"/>
          <w:szCs w:val="24"/>
        </w:rPr>
        <w:t>дегрануляция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тучных клеток сопровождается фрагментацией митохондрий и их перемещением к плазматической мембране (</w:t>
      </w:r>
      <w:proofErr w:type="spellStart"/>
      <w:r w:rsidRPr="009D43F2">
        <w:rPr>
          <w:rFonts w:ascii="Times New Roman" w:hAnsi="Times New Roman"/>
          <w:sz w:val="24"/>
          <w:szCs w:val="24"/>
        </w:rPr>
        <w:t>Zhang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et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al</w:t>
      </w:r>
      <w:proofErr w:type="spellEnd"/>
      <w:r w:rsidRPr="009D43F2">
        <w:rPr>
          <w:rFonts w:ascii="Times New Roman" w:hAnsi="Times New Roman"/>
          <w:sz w:val="24"/>
          <w:szCs w:val="24"/>
        </w:rPr>
        <w:t>., 2011). Фрагментация митохондрий, в свою очередь, сопровождается развитием окислительного стресса, а применение антиоксидантов способно подавлять фрагментацию митохондрий (</w:t>
      </w:r>
      <w:proofErr w:type="spellStart"/>
      <w:r w:rsidRPr="009D43F2">
        <w:rPr>
          <w:rFonts w:ascii="Times New Roman" w:hAnsi="Times New Roman"/>
          <w:sz w:val="24"/>
          <w:szCs w:val="24"/>
        </w:rPr>
        <w:t>Zhang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et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al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., 2015; </w:t>
      </w:r>
      <w:proofErr w:type="spellStart"/>
      <w:r w:rsidRPr="009D43F2">
        <w:rPr>
          <w:rFonts w:ascii="Times New Roman" w:hAnsi="Times New Roman"/>
          <w:sz w:val="24"/>
          <w:szCs w:val="24"/>
        </w:rPr>
        <w:t>Huang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et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al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., 2016; </w:t>
      </w:r>
      <w:proofErr w:type="spellStart"/>
      <w:r w:rsidRPr="009D43F2">
        <w:rPr>
          <w:rFonts w:ascii="Times New Roman" w:hAnsi="Times New Roman"/>
          <w:sz w:val="24"/>
          <w:szCs w:val="24"/>
        </w:rPr>
        <w:t>Gan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et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al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., 2017). Исходя из этого, мы предположили, что </w:t>
      </w:r>
      <w:proofErr w:type="spellStart"/>
      <w:r w:rsidRPr="009D43F2">
        <w:rPr>
          <w:rFonts w:ascii="Times New Roman" w:hAnsi="Times New Roman"/>
          <w:sz w:val="24"/>
          <w:szCs w:val="24"/>
        </w:rPr>
        <w:t>мтАФК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, контролирующие функциональное  состояние митохондрий,  могут играть важную роль в активации тучных клеток. </w:t>
      </w:r>
      <w:proofErr w:type="gramStart"/>
      <w:r w:rsidRPr="009D43F2">
        <w:rPr>
          <w:rFonts w:ascii="Times New Roman" w:hAnsi="Times New Roman"/>
          <w:sz w:val="24"/>
          <w:szCs w:val="24"/>
        </w:rPr>
        <w:t xml:space="preserve">Исследовали влияние </w:t>
      </w:r>
      <w:proofErr w:type="spellStart"/>
      <w:r w:rsidRPr="009D43F2">
        <w:rPr>
          <w:rFonts w:ascii="Times New Roman" w:hAnsi="Times New Roman"/>
          <w:sz w:val="24"/>
          <w:szCs w:val="24"/>
        </w:rPr>
        <w:t>митохондриально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-направленного антиоксиданта </w:t>
      </w:r>
      <w:proofErr w:type="spellStart"/>
      <w:r w:rsidRPr="009D43F2">
        <w:rPr>
          <w:rFonts w:ascii="Times New Roman" w:hAnsi="Times New Roman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1 в и </w:t>
      </w:r>
      <w:proofErr w:type="spellStart"/>
      <w:r w:rsidRPr="009D43F2">
        <w:rPr>
          <w:rFonts w:ascii="Times New Roman" w:hAnsi="Times New Roman"/>
          <w:sz w:val="24"/>
          <w:szCs w:val="24"/>
        </w:rPr>
        <w:t>разобщителя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С12</w:t>
      </w:r>
      <w:r w:rsidRPr="009D43F2">
        <w:rPr>
          <w:rFonts w:ascii="Times New Roman" w:hAnsi="Times New Roman"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sz w:val="24"/>
          <w:szCs w:val="24"/>
        </w:rPr>
        <w:t xml:space="preserve"> на фрагментацию митохондрий в ходе антиген-зависимой </w:t>
      </w:r>
      <w:proofErr w:type="spellStart"/>
      <w:r w:rsidRPr="009D43F2">
        <w:rPr>
          <w:rFonts w:ascii="Times New Roman" w:hAnsi="Times New Roman"/>
          <w:sz w:val="24"/>
          <w:szCs w:val="24"/>
        </w:rPr>
        <w:t>дегрануляции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клеток линии </w:t>
      </w:r>
      <w:r w:rsidRPr="009D43F2">
        <w:rPr>
          <w:rFonts w:ascii="Times New Roman" w:hAnsi="Times New Roman"/>
          <w:sz w:val="24"/>
          <w:szCs w:val="24"/>
          <w:lang w:val="en-US"/>
        </w:rPr>
        <w:t>RBL</w:t>
      </w:r>
      <w:r w:rsidRPr="009D43F2">
        <w:rPr>
          <w:rFonts w:ascii="Times New Roman" w:hAnsi="Times New Roman"/>
          <w:sz w:val="24"/>
          <w:szCs w:val="24"/>
        </w:rPr>
        <w:t>-2</w:t>
      </w:r>
      <w:r w:rsidRPr="009D43F2">
        <w:rPr>
          <w:rFonts w:ascii="Times New Roman" w:hAnsi="Times New Roman"/>
          <w:sz w:val="24"/>
          <w:szCs w:val="24"/>
          <w:lang w:val="en-US"/>
        </w:rPr>
        <w:t>H</w:t>
      </w:r>
      <w:r w:rsidRPr="009D43F2">
        <w:rPr>
          <w:rFonts w:ascii="Times New Roman" w:hAnsi="Times New Roman"/>
          <w:sz w:val="24"/>
          <w:szCs w:val="24"/>
        </w:rPr>
        <w:t>3.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Митохондрии и секреторные гранулы клеток визуализировали с помощью  специфических флуоресцентных зондов. Показано,  что </w:t>
      </w:r>
      <w:proofErr w:type="spellStart"/>
      <w:r w:rsidRPr="009D43F2">
        <w:rPr>
          <w:rFonts w:ascii="Times New Roman" w:hAnsi="Times New Roman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1 и </w:t>
      </w:r>
      <w:r w:rsidRPr="009D43F2">
        <w:rPr>
          <w:rFonts w:ascii="Times New Roman" w:hAnsi="Times New Roman"/>
          <w:sz w:val="24"/>
          <w:szCs w:val="24"/>
          <w:lang w:val="en-US"/>
        </w:rPr>
        <w:t>C</w:t>
      </w:r>
      <w:r w:rsidRPr="009D43F2">
        <w:rPr>
          <w:rFonts w:ascii="Times New Roman" w:hAnsi="Times New Roman"/>
          <w:sz w:val="24"/>
          <w:szCs w:val="24"/>
        </w:rPr>
        <w:t>12</w:t>
      </w:r>
      <w:r w:rsidRPr="009D43F2">
        <w:rPr>
          <w:rFonts w:ascii="Times New Roman" w:hAnsi="Times New Roman"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sz w:val="24"/>
          <w:szCs w:val="24"/>
        </w:rPr>
        <w:t xml:space="preserve"> предотвращают фрагментацию митохондрий в стимулированных клетках </w:t>
      </w:r>
      <w:r w:rsidRPr="009D43F2">
        <w:rPr>
          <w:rFonts w:ascii="Times New Roman" w:hAnsi="Times New Roman"/>
          <w:sz w:val="24"/>
          <w:szCs w:val="24"/>
          <w:lang w:val="en-US"/>
        </w:rPr>
        <w:t>RBL</w:t>
      </w:r>
      <w:r w:rsidRPr="009D43F2">
        <w:rPr>
          <w:rFonts w:ascii="Times New Roman" w:hAnsi="Times New Roman"/>
          <w:sz w:val="24"/>
          <w:szCs w:val="24"/>
        </w:rPr>
        <w:t>-2</w:t>
      </w:r>
      <w:r w:rsidRPr="009D43F2">
        <w:rPr>
          <w:rFonts w:ascii="Times New Roman" w:hAnsi="Times New Roman"/>
          <w:sz w:val="24"/>
          <w:szCs w:val="24"/>
          <w:lang w:val="en-US"/>
        </w:rPr>
        <w:t>H</w:t>
      </w:r>
      <w:r w:rsidRPr="009D43F2">
        <w:rPr>
          <w:rFonts w:ascii="Times New Roman" w:hAnsi="Times New Roman"/>
          <w:sz w:val="24"/>
          <w:szCs w:val="24"/>
        </w:rPr>
        <w:t xml:space="preserve">3. Полученные данные подтверждают гипотезу о том, что </w:t>
      </w:r>
      <w:proofErr w:type="spellStart"/>
      <w:r w:rsidRPr="009D43F2">
        <w:rPr>
          <w:rFonts w:ascii="Times New Roman" w:hAnsi="Times New Roman"/>
          <w:sz w:val="24"/>
          <w:szCs w:val="24"/>
        </w:rPr>
        <w:t>мтАФК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могут участвовать  в </w:t>
      </w:r>
      <w:proofErr w:type="spellStart"/>
      <w:r w:rsidRPr="009D43F2">
        <w:rPr>
          <w:rFonts w:ascii="Times New Roman" w:hAnsi="Times New Roman"/>
          <w:sz w:val="24"/>
          <w:szCs w:val="24"/>
        </w:rPr>
        <w:t>дегрануляции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тучных клеток посредством индукции фрагментации митохондрий. На модели анафилактического </w:t>
      </w:r>
      <w:proofErr w:type="spellStart"/>
      <w:proofErr w:type="gramStart"/>
      <w:r w:rsidRPr="009D43F2">
        <w:rPr>
          <w:rFonts w:ascii="Times New Roman" w:hAnsi="Times New Roman"/>
          <w:sz w:val="24"/>
          <w:szCs w:val="24"/>
        </w:rPr>
        <w:t>анафилактического</w:t>
      </w:r>
      <w:proofErr w:type="spellEnd"/>
      <w:proofErr w:type="gramEnd"/>
      <w:r w:rsidRPr="009D43F2">
        <w:rPr>
          <w:rFonts w:ascii="Times New Roman" w:hAnsi="Times New Roman"/>
          <w:sz w:val="24"/>
          <w:szCs w:val="24"/>
        </w:rPr>
        <w:t xml:space="preserve"> шока,  индуцированного веществом 48/80, у самцов мышей линии </w:t>
      </w:r>
      <w:r w:rsidRPr="009D43F2">
        <w:rPr>
          <w:rFonts w:ascii="Times New Roman" w:hAnsi="Times New Roman"/>
          <w:sz w:val="24"/>
          <w:szCs w:val="24"/>
          <w:lang w:val="en-US"/>
        </w:rPr>
        <w:t>CD</w:t>
      </w:r>
      <w:r w:rsidRPr="009D43F2">
        <w:rPr>
          <w:rFonts w:ascii="Times New Roman" w:hAnsi="Times New Roman"/>
          <w:sz w:val="24"/>
          <w:szCs w:val="24"/>
        </w:rPr>
        <w:t xml:space="preserve">1 протестированы противоаллергические </w:t>
      </w:r>
      <w:r w:rsidRPr="009D43F2">
        <w:rPr>
          <w:rFonts w:ascii="Times New Roman" w:hAnsi="Times New Roman"/>
          <w:sz w:val="24"/>
          <w:szCs w:val="24"/>
        </w:rPr>
        <w:lastRenderedPageBreak/>
        <w:t xml:space="preserve">свойства </w:t>
      </w:r>
      <w:proofErr w:type="spellStart"/>
      <w:r w:rsidRPr="009D43F2">
        <w:rPr>
          <w:rFonts w:ascii="Times New Roman" w:hAnsi="Times New Roman"/>
          <w:sz w:val="24"/>
          <w:szCs w:val="24"/>
        </w:rPr>
        <w:t>митохондриально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-направленного антиоксиданта </w:t>
      </w:r>
      <w:proofErr w:type="spellStart"/>
      <w:r w:rsidRPr="009D43F2">
        <w:rPr>
          <w:rFonts w:ascii="Times New Roman" w:hAnsi="Times New Roman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1. При  профилактическом введении антиоксиданта выживаемость мышей не увеличивалась. Необходимо проведение дальнейших исследований с использованием разных доз  </w:t>
      </w:r>
      <w:proofErr w:type="spellStart"/>
      <w:r w:rsidRPr="009D43F2">
        <w:rPr>
          <w:rFonts w:ascii="Times New Roman" w:hAnsi="Times New Roman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1 и </w:t>
      </w:r>
      <w:r w:rsidRPr="009D43F2">
        <w:rPr>
          <w:rFonts w:ascii="Times New Roman" w:hAnsi="Times New Roman"/>
          <w:sz w:val="24"/>
          <w:szCs w:val="24"/>
          <w:lang w:val="en-US"/>
        </w:rPr>
        <w:t>C</w:t>
      </w:r>
      <w:r w:rsidRPr="009D43F2">
        <w:rPr>
          <w:rFonts w:ascii="Times New Roman" w:hAnsi="Times New Roman"/>
          <w:sz w:val="24"/>
          <w:szCs w:val="24"/>
        </w:rPr>
        <w:t>12</w:t>
      </w:r>
      <w:r w:rsidRPr="009D43F2">
        <w:rPr>
          <w:rFonts w:ascii="Times New Roman" w:hAnsi="Times New Roman"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sz w:val="24"/>
          <w:szCs w:val="24"/>
        </w:rPr>
        <w:t xml:space="preserve"> на моделях  пассивной системной анафилаксии и овальбумин-индуцированного </w:t>
      </w:r>
      <w:proofErr w:type="spellStart"/>
      <w:r w:rsidRPr="009D43F2">
        <w:rPr>
          <w:rFonts w:ascii="Times New Roman" w:hAnsi="Times New Roman"/>
          <w:sz w:val="24"/>
          <w:szCs w:val="24"/>
        </w:rPr>
        <w:t>атопического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дерматита.</w:t>
      </w:r>
    </w:p>
    <w:p w:rsidR="001F572B" w:rsidRPr="009D43F2" w:rsidRDefault="001F572B" w:rsidP="009B1A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D43F2">
        <w:rPr>
          <w:rFonts w:ascii="Times New Roman" w:hAnsi="Times New Roman"/>
          <w:b/>
          <w:sz w:val="24"/>
          <w:szCs w:val="24"/>
        </w:rPr>
        <w:t>Подтема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2. Исследование влияния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митохондриальн</w:t>
      </w:r>
      <w:proofErr w:type="gramStart"/>
      <w:r w:rsidRPr="009D43F2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9D43F2">
        <w:rPr>
          <w:rFonts w:ascii="Times New Roman" w:hAnsi="Times New Roman"/>
          <w:b/>
          <w:sz w:val="24"/>
          <w:szCs w:val="24"/>
        </w:rPr>
        <w:t xml:space="preserve"> направленного антиоксиданта на основе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пластохинона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b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1 и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разобщителя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С12</w:t>
      </w:r>
      <w:r w:rsidRPr="009D43F2">
        <w:rPr>
          <w:rFonts w:ascii="Times New Roman" w:hAnsi="Times New Roman"/>
          <w:b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b/>
          <w:sz w:val="24"/>
          <w:szCs w:val="24"/>
        </w:rPr>
        <w:t xml:space="preserve"> на ЛПС-индуцированную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провоспалительную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активацию макрофагов (клеточная линия </w:t>
      </w:r>
      <w:r w:rsidRPr="009D43F2">
        <w:rPr>
          <w:rFonts w:ascii="Times New Roman" w:hAnsi="Times New Roman"/>
          <w:b/>
          <w:sz w:val="24"/>
          <w:szCs w:val="24"/>
          <w:lang w:val="en-GB"/>
        </w:rPr>
        <w:t>THP</w:t>
      </w:r>
      <w:r w:rsidRPr="009D43F2">
        <w:rPr>
          <w:rFonts w:ascii="Times New Roman" w:hAnsi="Times New Roman"/>
          <w:b/>
          <w:sz w:val="24"/>
          <w:szCs w:val="24"/>
        </w:rPr>
        <w:t>-1).</w:t>
      </w:r>
    </w:p>
    <w:p w:rsidR="001F572B" w:rsidRPr="009D43F2" w:rsidRDefault="001F572B" w:rsidP="00535D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3F2">
        <w:rPr>
          <w:rFonts w:ascii="Times New Roman" w:hAnsi="Times New Roman"/>
          <w:color w:val="000000"/>
          <w:sz w:val="24"/>
          <w:szCs w:val="24"/>
        </w:rPr>
        <w:t xml:space="preserve"> Исследовали влияние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митохондриально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-направленного антиоксиданта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1 и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разобщителя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С12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 на активацию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инфламмасомы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в макрофагах, дифференцированных из моноцитов линии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THP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-1. Данная клеточная линия широко используется для изучения механизмов активации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инфламмасомы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NLRP</w:t>
      </w:r>
      <w:r w:rsidRPr="009D43F2">
        <w:rPr>
          <w:rFonts w:ascii="Times New Roman" w:hAnsi="Times New Roman"/>
          <w:color w:val="000000"/>
          <w:sz w:val="24"/>
          <w:szCs w:val="24"/>
        </w:rPr>
        <w:t>3 в макрофагах (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Wang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., 2013;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Kim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., 2016;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Guzova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., 2019).  Стимуляцию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осуществляли в два этапа: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праймирование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с помощью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липополисахарида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и активация (АТФ или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нигерицин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). Активность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определяли по уровню секреции цитокина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IL</w:t>
      </w:r>
      <w:r w:rsidRPr="009D43F2">
        <w:rPr>
          <w:rFonts w:ascii="Times New Roman" w:hAnsi="Times New Roman"/>
          <w:color w:val="000000"/>
          <w:sz w:val="24"/>
          <w:szCs w:val="24"/>
        </w:rPr>
        <w:t>-1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β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. Содержание цитокина в кондиционированной среде определяли с помощью готового набора для ИФА. Результаты данной части работы показали, что предобработка дифференцированных клеток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THP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-1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1 в концентрациях 40, 400 и 1000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нМ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в течение 5 часов перед добавлением активирующего сигнала приводит к достоверному увеличению активации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инфламмасомы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(в 2-3 раза). С12ТРР в тех же концентрациях также увеличивает продукцию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IL</w:t>
      </w:r>
      <w:r w:rsidRPr="009D43F2">
        <w:rPr>
          <w:rFonts w:ascii="Times New Roman" w:hAnsi="Times New Roman"/>
          <w:color w:val="000000"/>
          <w:sz w:val="24"/>
          <w:szCs w:val="24"/>
        </w:rPr>
        <w:t>-1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β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, однако в меньшей степени, чем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1 (в 1,5-2 раза). Полученные данные свидетельствуют о том, что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мтАФК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ингибируют активацию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инфламмасомы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в макрофагах.</w:t>
      </w:r>
    </w:p>
    <w:p w:rsidR="001F572B" w:rsidRPr="009D43F2" w:rsidRDefault="001F572B" w:rsidP="009D4604">
      <w:pPr>
        <w:keepNext/>
        <w:keepLines/>
        <w:spacing w:after="0" w:line="360" w:lineRule="auto"/>
        <w:ind w:right="283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D43F2">
        <w:rPr>
          <w:rFonts w:ascii="Times New Roman" w:hAnsi="Times New Roman"/>
          <w:b/>
          <w:sz w:val="24"/>
          <w:szCs w:val="24"/>
        </w:rPr>
        <w:lastRenderedPageBreak/>
        <w:t>Подтема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3. Выявление половых гистофизиологических различий барьера толстой кишки у мышей  </w:t>
      </w:r>
      <w:r w:rsidRPr="009D43F2">
        <w:rPr>
          <w:rFonts w:ascii="Times New Roman" w:hAnsi="Times New Roman"/>
          <w:b/>
          <w:sz w:val="24"/>
          <w:szCs w:val="24"/>
          <w:lang w:val="en-US"/>
        </w:rPr>
        <w:t>C</w:t>
      </w:r>
      <w:r w:rsidRPr="009D43F2">
        <w:rPr>
          <w:rFonts w:ascii="Times New Roman" w:hAnsi="Times New Roman"/>
          <w:b/>
          <w:sz w:val="24"/>
          <w:szCs w:val="24"/>
        </w:rPr>
        <w:t>57</w:t>
      </w:r>
      <w:r w:rsidRPr="009D43F2">
        <w:rPr>
          <w:rFonts w:ascii="Times New Roman" w:hAnsi="Times New Roman"/>
          <w:b/>
          <w:sz w:val="24"/>
          <w:szCs w:val="24"/>
          <w:lang w:val="en-US"/>
        </w:rPr>
        <w:t>BL</w:t>
      </w:r>
      <w:r w:rsidRPr="009D43F2">
        <w:rPr>
          <w:rFonts w:ascii="Times New Roman" w:hAnsi="Times New Roman"/>
          <w:b/>
          <w:sz w:val="24"/>
          <w:szCs w:val="24"/>
        </w:rPr>
        <w:t xml:space="preserve">/6 при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стрессорном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холодовом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воздействии</w:t>
      </w:r>
      <w:r w:rsidRPr="009D43F2">
        <w:rPr>
          <w:rFonts w:ascii="Times New Roman" w:hAnsi="Times New Roman"/>
          <w:sz w:val="24"/>
          <w:szCs w:val="24"/>
        </w:rPr>
        <w:t xml:space="preserve">.  </w:t>
      </w:r>
    </w:p>
    <w:p w:rsidR="001F572B" w:rsidRPr="009D43F2" w:rsidRDefault="001F572B" w:rsidP="00A620A4">
      <w:pPr>
        <w:keepNext/>
        <w:keepLines/>
        <w:spacing w:after="0" w:line="360" w:lineRule="auto"/>
        <w:ind w:right="283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t xml:space="preserve">Известно, что стресс может способствовать развитию различных заболеваний кишечника, таких как синдром раздраженной кишки, болезнь Крона, язвенный колит. </w:t>
      </w:r>
      <w:proofErr w:type="spellStart"/>
      <w:r w:rsidRPr="009D43F2">
        <w:rPr>
          <w:rFonts w:ascii="Times New Roman" w:hAnsi="Times New Roman"/>
          <w:sz w:val="24"/>
          <w:szCs w:val="24"/>
          <w:lang w:val="en-US"/>
        </w:rPr>
        <w:t>Selye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(1936) показал, что стресс, вне зависимости от природы </w:t>
      </w:r>
      <w:proofErr w:type="spellStart"/>
      <w:r w:rsidRPr="009D43F2">
        <w:rPr>
          <w:rFonts w:ascii="Times New Roman" w:hAnsi="Times New Roman"/>
          <w:sz w:val="24"/>
          <w:szCs w:val="24"/>
        </w:rPr>
        <w:t>стрессорного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фактора, вызывает ряд однотипных морфологических изменений: гипертрофию надпочечников, инволюцию тимуса и лимфатических узлов, а также изъязвления по ходу желудочно-кишечного тракта</w:t>
      </w:r>
      <w:r w:rsidRPr="009D43F2">
        <w:rPr>
          <w:rFonts w:ascii="Times New Roman" w:hAnsi="Times New Roman"/>
          <w:bCs/>
          <w:sz w:val="24"/>
          <w:szCs w:val="24"/>
        </w:rPr>
        <w:t xml:space="preserve">. Половые различия -  кариотип и содержанием половых гормонов, </w:t>
      </w:r>
      <w:proofErr w:type="gramStart"/>
      <w:r w:rsidRPr="009D43F2">
        <w:rPr>
          <w:rFonts w:ascii="Times New Roman" w:hAnsi="Times New Roman"/>
          <w:bCs/>
          <w:sz w:val="24"/>
          <w:szCs w:val="24"/>
        </w:rPr>
        <w:t>во-многом</w:t>
      </w:r>
      <w:proofErr w:type="gramEnd"/>
      <w:r w:rsidRPr="009D43F2">
        <w:rPr>
          <w:rFonts w:ascii="Times New Roman" w:hAnsi="Times New Roman"/>
          <w:bCs/>
          <w:sz w:val="24"/>
          <w:szCs w:val="24"/>
        </w:rPr>
        <w:t xml:space="preserve">, определяют течение </w:t>
      </w:r>
      <w:proofErr w:type="spellStart"/>
      <w:r w:rsidRPr="009D43F2">
        <w:rPr>
          <w:rFonts w:ascii="Times New Roman" w:hAnsi="Times New Roman"/>
          <w:bCs/>
          <w:sz w:val="24"/>
          <w:szCs w:val="24"/>
        </w:rPr>
        <w:t>стрессорных</w:t>
      </w:r>
      <w:proofErr w:type="spellEnd"/>
      <w:r w:rsidRPr="009D43F2">
        <w:rPr>
          <w:rFonts w:ascii="Times New Roman" w:hAnsi="Times New Roman"/>
          <w:bCs/>
          <w:sz w:val="24"/>
          <w:szCs w:val="24"/>
        </w:rPr>
        <w:t xml:space="preserve"> и воспалительных реакций организма.  В связи </w:t>
      </w:r>
      <w:proofErr w:type="gramStart"/>
      <w:r w:rsidRPr="009D43F2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9D43F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D43F2">
        <w:rPr>
          <w:rFonts w:ascii="Times New Roman" w:hAnsi="Times New Roman"/>
          <w:bCs/>
          <w:sz w:val="24"/>
          <w:szCs w:val="24"/>
        </w:rPr>
        <w:t>изложенным</w:t>
      </w:r>
      <w:proofErr w:type="gramEnd"/>
      <w:r w:rsidRPr="009D43F2">
        <w:rPr>
          <w:rFonts w:ascii="Times New Roman" w:hAnsi="Times New Roman"/>
          <w:bCs/>
          <w:sz w:val="24"/>
          <w:szCs w:val="24"/>
        </w:rPr>
        <w:t xml:space="preserve">, целью работы стало изучение морфофункциональных изменений ободочной кишки при </w:t>
      </w:r>
      <w:proofErr w:type="spellStart"/>
      <w:r w:rsidRPr="009D43F2">
        <w:rPr>
          <w:rFonts w:ascii="Times New Roman" w:hAnsi="Times New Roman"/>
          <w:bCs/>
          <w:sz w:val="24"/>
          <w:szCs w:val="24"/>
        </w:rPr>
        <w:t>холодовом</w:t>
      </w:r>
      <w:proofErr w:type="spellEnd"/>
      <w:r w:rsidRPr="009D43F2">
        <w:rPr>
          <w:rFonts w:ascii="Times New Roman" w:hAnsi="Times New Roman"/>
          <w:bCs/>
          <w:sz w:val="24"/>
          <w:szCs w:val="24"/>
        </w:rPr>
        <w:t xml:space="preserve"> стрессе у самцов и самок мышей С57/</w:t>
      </w:r>
      <w:proofErr w:type="spellStart"/>
      <w:r w:rsidRPr="009D43F2">
        <w:rPr>
          <w:rFonts w:ascii="Times New Roman" w:hAnsi="Times New Roman"/>
          <w:bCs/>
          <w:sz w:val="24"/>
          <w:szCs w:val="24"/>
          <w:lang w:val="en-US"/>
        </w:rPr>
        <w:t>Bl</w:t>
      </w:r>
      <w:proofErr w:type="spellEnd"/>
      <w:r w:rsidRPr="009D43F2">
        <w:rPr>
          <w:rFonts w:ascii="Times New Roman" w:hAnsi="Times New Roman"/>
          <w:bCs/>
          <w:sz w:val="24"/>
          <w:szCs w:val="24"/>
        </w:rPr>
        <w:t>6.</w:t>
      </w:r>
      <w:r w:rsidRPr="009D43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D43F2">
        <w:rPr>
          <w:rFonts w:ascii="Times New Roman" w:hAnsi="Times New Roman"/>
          <w:sz w:val="24"/>
          <w:szCs w:val="24"/>
        </w:rPr>
        <w:t>течениие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14 дней мышей обоего пола опытных групп ежедневно помещали в морозильную камеру -20</w:t>
      </w:r>
      <w:proofErr w:type="gramStart"/>
      <w:r w:rsidRPr="009D43F2">
        <w:rPr>
          <w:rFonts w:ascii="Times New Roman" w:hAnsi="Times New Roman"/>
          <w:sz w:val="24"/>
          <w:szCs w:val="24"/>
        </w:rPr>
        <w:t>°С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на 20 мин. За 20 минут холодового воздействия температура по данным внутрибрюшинного датчика у самки мыши снижалась в среднем до 31,7 (31,1; 31,9) °C, что соответствует умеренной гипотермии.  </w:t>
      </w:r>
      <w:proofErr w:type="gramStart"/>
      <w:r w:rsidRPr="009D43F2">
        <w:rPr>
          <w:rFonts w:ascii="Times New Roman" w:hAnsi="Times New Roman"/>
          <w:sz w:val="24"/>
          <w:szCs w:val="24"/>
        </w:rPr>
        <w:t xml:space="preserve">После курсового холодового воздействия патологических изменений в ободочной кишке, изменений содержания клеточных элементов в слизистой оболочке, числа </w:t>
      </w:r>
      <w:proofErr w:type="spellStart"/>
      <w:r w:rsidRPr="009D43F2">
        <w:rPr>
          <w:rFonts w:ascii="Times New Roman" w:hAnsi="Times New Roman"/>
          <w:sz w:val="24"/>
          <w:szCs w:val="24"/>
        </w:rPr>
        <w:t>эндокринныхх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клеток, объемной доли бокаловидных клеток и содержания в них нейтральных и </w:t>
      </w:r>
      <w:proofErr w:type="spellStart"/>
      <w:r w:rsidRPr="009D43F2">
        <w:rPr>
          <w:rFonts w:ascii="Times New Roman" w:hAnsi="Times New Roman"/>
          <w:sz w:val="24"/>
          <w:szCs w:val="24"/>
        </w:rPr>
        <w:t>высокосульфатированных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муцинов после 14 дней ежедневного 10-20-ти минутного холодового воздействия не было выявлено ни у самцов, ни у самок мышей </w:t>
      </w:r>
      <w:r w:rsidRPr="009D43F2">
        <w:rPr>
          <w:rFonts w:ascii="Times New Roman" w:hAnsi="Times New Roman"/>
          <w:sz w:val="24"/>
          <w:szCs w:val="24"/>
          <w:lang w:val="en-US"/>
        </w:rPr>
        <w:t>C</w:t>
      </w:r>
      <w:r w:rsidRPr="009D43F2">
        <w:rPr>
          <w:rFonts w:ascii="Times New Roman" w:hAnsi="Times New Roman"/>
          <w:sz w:val="24"/>
          <w:szCs w:val="24"/>
        </w:rPr>
        <w:t>57</w:t>
      </w:r>
      <w:r w:rsidRPr="009D43F2">
        <w:rPr>
          <w:rFonts w:ascii="Times New Roman" w:hAnsi="Times New Roman"/>
          <w:sz w:val="24"/>
          <w:szCs w:val="24"/>
          <w:lang w:val="en-US"/>
        </w:rPr>
        <w:t>BL</w:t>
      </w:r>
      <w:r w:rsidRPr="009D43F2">
        <w:rPr>
          <w:rFonts w:ascii="Times New Roman" w:hAnsi="Times New Roman"/>
          <w:sz w:val="24"/>
          <w:szCs w:val="24"/>
        </w:rPr>
        <w:t>/6.У самцов мышей контрольной и опытной группы объемная доля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бокаловидных клеток у самцов была статистически значимо ниже, Таким образом, в выбранном режиме  </w:t>
      </w:r>
      <w:proofErr w:type="spellStart"/>
      <w:r w:rsidRPr="009D43F2">
        <w:rPr>
          <w:rFonts w:ascii="Times New Roman" w:hAnsi="Times New Roman"/>
          <w:sz w:val="24"/>
          <w:szCs w:val="24"/>
        </w:rPr>
        <w:t>холодовое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воздействие не оказывало </w:t>
      </w:r>
      <w:proofErr w:type="spellStart"/>
      <w:r w:rsidRPr="009D43F2">
        <w:rPr>
          <w:rFonts w:ascii="Times New Roman" w:hAnsi="Times New Roman"/>
          <w:sz w:val="24"/>
          <w:szCs w:val="24"/>
        </w:rPr>
        <w:t>стрессорного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эффекта ни у самцов, ни у самок.</w:t>
      </w:r>
    </w:p>
    <w:p w:rsidR="001F572B" w:rsidRPr="009D43F2" w:rsidRDefault="001F572B" w:rsidP="00BF6ABA">
      <w:pPr>
        <w:keepNext/>
        <w:keepLines/>
        <w:spacing w:after="0" w:line="360" w:lineRule="auto"/>
        <w:ind w:right="283" w:firstLine="709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proofErr w:type="spellStart"/>
      <w:r w:rsidRPr="009D43F2">
        <w:rPr>
          <w:rFonts w:ascii="Times New Roman" w:hAnsi="Times New Roman"/>
          <w:b/>
          <w:sz w:val="24"/>
          <w:szCs w:val="24"/>
        </w:rPr>
        <w:t>Подтема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4.  Определение роли клеточной адгезии в эффективности </w:t>
      </w:r>
      <w:proofErr w:type="spellStart"/>
      <w:r w:rsidRPr="009D43F2">
        <w:rPr>
          <w:rFonts w:ascii="Times New Roman" w:hAnsi="Times New Roman"/>
          <w:b/>
          <w:sz w:val="24"/>
          <w:szCs w:val="24"/>
        </w:rPr>
        <w:t>эпидермальной</w:t>
      </w:r>
      <w:proofErr w:type="spellEnd"/>
      <w:r w:rsidRPr="009D43F2">
        <w:rPr>
          <w:rFonts w:ascii="Times New Roman" w:hAnsi="Times New Roman"/>
          <w:b/>
          <w:sz w:val="24"/>
          <w:szCs w:val="24"/>
        </w:rPr>
        <w:t xml:space="preserve"> дифференцировки из плюрипотентных стволовых клеток человека.</w:t>
      </w: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Важным событием, значительно расширившим сферу применения плюрипотентных клеток человека, стало получение индуцированных плюрипотентных стволовых клеток человека (ИПСК) лабораторией Яманаки в 2006 году. .При помощи ИПСК стало возможным осуществлять пациент-специфический подбор лекарственных препаратов, что внесло важный вклад в развитие персонализированной медицины. Также ИПСК, полученные от доноров с генетическими заболеваниями, могут использоваться для моделирования и разработки подходов к лечению этих заболеваний in vitro.</w:t>
      </w:r>
    </w:p>
    <w:p w:rsidR="001F572B" w:rsidRPr="009D43F2" w:rsidRDefault="001F572B" w:rsidP="009173B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9D43F2">
        <w:rPr>
          <w:rFonts w:ascii="Times New Roman" w:hAnsi="Times New Roman"/>
          <w:sz w:val="24"/>
          <w:szCs w:val="24"/>
        </w:rPr>
        <w:t>В настоящем исследовании был проведено исследование влияния</w:t>
      </w: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Pr="009D43F2">
        <w:rPr>
          <w:rFonts w:ascii="Times New Roman" w:hAnsi="Times New Roman"/>
          <w:sz w:val="24"/>
          <w:szCs w:val="24"/>
        </w:rPr>
        <w:t xml:space="preserve">на колонии ИПСК в течение нескольких пассажей отдельных компонентов </w:t>
      </w: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роста  -  </w:t>
      </w:r>
      <w:r w:rsidRPr="009D43F2">
        <w:rPr>
          <w:rFonts w:ascii="Times New Roman" w:hAnsi="Times New Roman"/>
          <w:sz w:val="24"/>
          <w:szCs w:val="24"/>
          <w:lang w:eastAsia="ru-RU"/>
        </w:rPr>
        <w:t xml:space="preserve">коллагена </w:t>
      </w:r>
      <w:r w:rsidRPr="009D43F2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9D43F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D43F2">
        <w:rPr>
          <w:rFonts w:ascii="Times New Roman" w:hAnsi="Times New Roman"/>
          <w:sz w:val="24"/>
          <w:szCs w:val="24"/>
          <w:lang w:eastAsia="ru-RU"/>
        </w:rPr>
        <w:lastRenderedPageBreak/>
        <w:t>фибронектина</w:t>
      </w:r>
      <w:proofErr w:type="spellEnd"/>
      <w:r w:rsidRPr="009D43F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D43F2">
        <w:rPr>
          <w:rFonts w:ascii="Times New Roman" w:hAnsi="Times New Roman"/>
          <w:sz w:val="24"/>
          <w:szCs w:val="24"/>
          <w:lang w:eastAsia="ru-RU"/>
        </w:rPr>
        <w:t>ламинина</w:t>
      </w:r>
      <w:proofErr w:type="spellEnd"/>
      <w:r w:rsidRPr="009D43F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D43F2">
        <w:rPr>
          <w:rFonts w:ascii="Times New Roman" w:hAnsi="Times New Roman"/>
          <w:sz w:val="24"/>
          <w:szCs w:val="24"/>
          <w:lang w:eastAsia="ru-RU"/>
        </w:rPr>
        <w:t>витронектина</w:t>
      </w:r>
      <w:proofErr w:type="spellEnd"/>
      <w:r w:rsidRPr="009D43F2">
        <w:rPr>
          <w:rFonts w:ascii="Times New Roman" w:hAnsi="Times New Roman"/>
          <w:sz w:val="24"/>
          <w:szCs w:val="24"/>
          <w:lang w:eastAsia="ru-RU"/>
        </w:rPr>
        <w:t xml:space="preserve">, причём для </w:t>
      </w:r>
      <w:proofErr w:type="spellStart"/>
      <w:r w:rsidRPr="009D43F2">
        <w:rPr>
          <w:rFonts w:ascii="Times New Roman" w:hAnsi="Times New Roman"/>
          <w:sz w:val="24"/>
          <w:szCs w:val="24"/>
          <w:lang w:eastAsia="ru-RU"/>
        </w:rPr>
        <w:t>витронектина</w:t>
      </w:r>
      <w:proofErr w:type="spellEnd"/>
      <w:r w:rsidRPr="009D43F2">
        <w:rPr>
          <w:rFonts w:ascii="Times New Roman" w:hAnsi="Times New Roman"/>
          <w:sz w:val="24"/>
          <w:szCs w:val="24"/>
          <w:lang w:eastAsia="ru-RU"/>
        </w:rPr>
        <w:t xml:space="preserve"> положительные результаты были получены только при его сорбции на стеклянных слайдах.  </w:t>
      </w: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Для ламинина была показана наилучшая адгезия ИПСК при пассировании, наиболее близкая по своему значению к контролю. Также, при культивировании клеток в течение нескольких пассажей, ламинин, по сравнению с другими матриксами, демонстрировал наиболее высокую интенсивность роста колоний и высокий уровень экспрессии маркеров плюрипотентности. Фибронектин и коллаген IV, по сравнению с ламинином, значительно хуже обеспечивали как адгезию, так и поддержание роста колоний ИПСК. Коллагены I и III оказались неспособны к обеспечению продолжительной адгезии ИПСК. При успешной сорбции, витронектин показал хорошие результаты при поддержании роста колоний ИПСК на первом пассаже, сходные с контролем. Несмотря на возникшие при работе с ним методологические проблемы, витронектин имеет большой потенциал для дальнейших исследований, так как множество литературных источников свидетельствует о его высокой эффективности в культивировании плюрипотентных клеток человека.</w:t>
      </w:r>
    </w:p>
    <w:p w:rsidR="001F572B" w:rsidRPr="009D43F2" w:rsidRDefault="001F572B" w:rsidP="009173B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F572B" w:rsidRPr="009D43F2" w:rsidRDefault="001F572B" w:rsidP="00A32DC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9D43F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ЗАКЛЮЧЕНИЕ</w:t>
      </w:r>
    </w:p>
    <w:p w:rsidR="001F572B" w:rsidRPr="009D43F2" w:rsidRDefault="001F572B" w:rsidP="00A32DC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1F572B" w:rsidRPr="009D43F2" w:rsidRDefault="001F572B" w:rsidP="00A32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t xml:space="preserve"> В результате исследования противоаллергических свойств </w:t>
      </w:r>
      <w:proofErr w:type="spellStart"/>
      <w:r w:rsidRPr="009D43F2">
        <w:rPr>
          <w:rFonts w:ascii="Times New Roman" w:hAnsi="Times New Roman"/>
          <w:sz w:val="24"/>
          <w:szCs w:val="24"/>
        </w:rPr>
        <w:t>митохондриальн</w:t>
      </w:r>
      <w:proofErr w:type="gramStart"/>
      <w:r w:rsidRPr="009D43F2">
        <w:rPr>
          <w:rFonts w:ascii="Times New Roman" w:hAnsi="Times New Roman"/>
          <w:sz w:val="24"/>
          <w:szCs w:val="24"/>
        </w:rPr>
        <w:t>о</w:t>
      </w:r>
      <w:proofErr w:type="spellEnd"/>
      <w:r w:rsidRPr="009D43F2">
        <w:rPr>
          <w:rFonts w:ascii="Times New Roman" w:hAnsi="Times New Roman"/>
          <w:sz w:val="24"/>
          <w:szCs w:val="24"/>
        </w:rPr>
        <w:t>-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направленного антиоксиданта на основе </w:t>
      </w:r>
      <w:proofErr w:type="spellStart"/>
      <w:r w:rsidRPr="009D43F2">
        <w:rPr>
          <w:rFonts w:ascii="Times New Roman" w:hAnsi="Times New Roman"/>
          <w:sz w:val="24"/>
          <w:szCs w:val="24"/>
        </w:rPr>
        <w:t>пластохинона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SkQ1 и </w:t>
      </w:r>
      <w:proofErr w:type="spellStart"/>
      <w:r w:rsidRPr="009D43F2">
        <w:rPr>
          <w:rFonts w:ascii="Times New Roman" w:hAnsi="Times New Roman"/>
          <w:sz w:val="24"/>
          <w:szCs w:val="24"/>
        </w:rPr>
        <w:t>разобщителя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С12TPP в моделях </w:t>
      </w:r>
      <w:proofErr w:type="spellStart"/>
      <w:r w:rsidRPr="009D43F2">
        <w:rPr>
          <w:rFonts w:ascii="Times New Roman" w:hAnsi="Times New Roman"/>
          <w:sz w:val="24"/>
          <w:szCs w:val="24"/>
        </w:rPr>
        <w:t>in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</w:rPr>
        <w:t>vitro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, показано,  что оба соединения предотвращают фрагментацию митохондрий в стимулированных опухолевых тучных  клетках </w:t>
      </w:r>
      <w:r w:rsidRPr="009D43F2">
        <w:rPr>
          <w:rFonts w:ascii="Times New Roman" w:hAnsi="Times New Roman"/>
          <w:sz w:val="24"/>
          <w:szCs w:val="24"/>
          <w:lang w:val="en-US"/>
        </w:rPr>
        <w:t>RBL</w:t>
      </w:r>
      <w:r w:rsidRPr="009D43F2">
        <w:rPr>
          <w:rFonts w:ascii="Times New Roman" w:hAnsi="Times New Roman"/>
          <w:sz w:val="24"/>
          <w:szCs w:val="24"/>
        </w:rPr>
        <w:t>-2</w:t>
      </w:r>
      <w:r w:rsidRPr="009D43F2">
        <w:rPr>
          <w:rFonts w:ascii="Times New Roman" w:hAnsi="Times New Roman"/>
          <w:sz w:val="24"/>
          <w:szCs w:val="24"/>
          <w:lang w:val="en-US"/>
        </w:rPr>
        <w:t>H</w:t>
      </w:r>
      <w:r w:rsidRPr="009D43F2">
        <w:rPr>
          <w:rFonts w:ascii="Times New Roman" w:hAnsi="Times New Roman"/>
          <w:sz w:val="24"/>
          <w:szCs w:val="24"/>
        </w:rPr>
        <w:t xml:space="preserve">3. Полученные данные подтверждают гипотезу о том, что </w:t>
      </w:r>
      <w:proofErr w:type="spellStart"/>
      <w:r w:rsidRPr="009D43F2">
        <w:rPr>
          <w:rFonts w:ascii="Times New Roman" w:hAnsi="Times New Roman"/>
          <w:sz w:val="24"/>
          <w:szCs w:val="24"/>
        </w:rPr>
        <w:t>мтАФК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могут участвовать  в </w:t>
      </w:r>
      <w:proofErr w:type="spellStart"/>
      <w:r w:rsidRPr="009D43F2">
        <w:rPr>
          <w:rFonts w:ascii="Times New Roman" w:hAnsi="Times New Roman"/>
          <w:sz w:val="24"/>
          <w:szCs w:val="24"/>
        </w:rPr>
        <w:t>дегрануляции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тучных клеток посредством индукции фрагментации митохондрий </w:t>
      </w:r>
    </w:p>
    <w:p w:rsidR="001F572B" w:rsidRPr="009D43F2" w:rsidRDefault="001F572B" w:rsidP="00AB5E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3F2">
        <w:rPr>
          <w:rFonts w:ascii="Times New Roman" w:hAnsi="Times New Roman"/>
          <w:sz w:val="24"/>
          <w:szCs w:val="24"/>
        </w:rPr>
        <w:t>В</w:t>
      </w:r>
      <w:r w:rsidRPr="009D43F2">
        <w:rPr>
          <w:rFonts w:ascii="Times New Roman" w:hAnsi="Times New Roman"/>
          <w:i/>
          <w:sz w:val="24"/>
          <w:szCs w:val="24"/>
        </w:rPr>
        <w:t xml:space="preserve">  </w:t>
      </w:r>
      <w:r w:rsidRPr="009D43F2">
        <w:rPr>
          <w:rFonts w:ascii="Times New Roman" w:hAnsi="Times New Roman"/>
          <w:sz w:val="24"/>
          <w:szCs w:val="24"/>
        </w:rPr>
        <w:t xml:space="preserve">исследовании влияния </w:t>
      </w:r>
      <w:proofErr w:type="spellStart"/>
      <w:r w:rsidRPr="009D43F2">
        <w:rPr>
          <w:rFonts w:ascii="Times New Roman" w:hAnsi="Times New Roman"/>
          <w:sz w:val="24"/>
          <w:szCs w:val="24"/>
        </w:rPr>
        <w:t>митохондриальн</w:t>
      </w:r>
      <w:proofErr w:type="gramStart"/>
      <w:r w:rsidRPr="009D43F2">
        <w:rPr>
          <w:rFonts w:ascii="Times New Roman" w:hAnsi="Times New Roman"/>
          <w:sz w:val="24"/>
          <w:szCs w:val="24"/>
        </w:rPr>
        <w:t>о</w:t>
      </w:r>
      <w:proofErr w:type="spellEnd"/>
      <w:r w:rsidRPr="009D43F2">
        <w:rPr>
          <w:rFonts w:ascii="Times New Roman" w:hAnsi="Times New Roman"/>
          <w:sz w:val="24"/>
          <w:szCs w:val="24"/>
        </w:rPr>
        <w:t>-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направленного антиоксиданта на основе </w:t>
      </w:r>
      <w:proofErr w:type="spellStart"/>
      <w:r w:rsidRPr="009D43F2">
        <w:rPr>
          <w:rFonts w:ascii="Times New Roman" w:hAnsi="Times New Roman"/>
          <w:sz w:val="24"/>
          <w:szCs w:val="24"/>
        </w:rPr>
        <w:t>пластохинона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3F2">
        <w:rPr>
          <w:rFonts w:ascii="Times New Roman" w:hAnsi="Times New Roman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1 и </w:t>
      </w:r>
      <w:proofErr w:type="spellStart"/>
      <w:r w:rsidRPr="009D43F2">
        <w:rPr>
          <w:rFonts w:ascii="Times New Roman" w:hAnsi="Times New Roman"/>
          <w:sz w:val="24"/>
          <w:szCs w:val="24"/>
        </w:rPr>
        <w:t>разобщителя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окислительного </w:t>
      </w:r>
      <w:proofErr w:type="spellStart"/>
      <w:r w:rsidRPr="009D43F2">
        <w:rPr>
          <w:rFonts w:ascii="Times New Roman" w:hAnsi="Times New Roman"/>
          <w:sz w:val="24"/>
          <w:szCs w:val="24"/>
        </w:rPr>
        <w:t>фосфорилирования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С12</w:t>
      </w:r>
      <w:r w:rsidRPr="009D43F2">
        <w:rPr>
          <w:rFonts w:ascii="Times New Roman" w:hAnsi="Times New Roman"/>
          <w:sz w:val="24"/>
          <w:szCs w:val="24"/>
          <w:lang w:val="en-US"/>
        </w:rPr>
        <w:t>TPP</w:t>
      </w:r>
      <w:r w:rsidRPr="009D43F2">
        <w:rPr>
          <w:rFonts w:ascii="Times New Roman" w:hAnsi="Times New Roman"/>
          <w:sz w:val="24"/>
          <w:szCs w:val="24"/>
        </w:rPr>
        <w:t xml:space="preserve"> на ЛПС-индуцированную </w:t>
      </w:r>
      <w:proofErr w:type="spellStart"/>
      <w:r w:rsidRPr="009D43F2">
        <w:rPr>
          <w:rFonts w:ascii="Times New Roman" w:hAnsi="Times New Roman"/>
          <w:sz w:val="24"/>
          <w:szCs w:val="24"/>
        </w:rPr>
        <w:t>провоспалительную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активацию макрофагов (клеточная линия </w:t>
      </w:r>
      <w:r w:rsidRPr="009D43F2">
        <w:rPr>
          <w:rFonts w:ascii="Times New Roman" w:hAnsi="Times New Roman"/>
          <w:sz w:val="24"/>
          <w:szCs w:val="24"/>
          <w:lang w:val="en-GB"/>
        </w:rPr>
        <w:t>THP</w:t>
      </w:r>
      <w:r w:rsidRPr="009D43F2">
        <w:rPr>
          <w:rFonts w:ascii="Times New Roman" w:hAnsi="Times New Roman"/>
          <w:sz w:val="24"/>
          <w:szCs w:val="24"/>
        </w:rPr>
        <w:t>-1)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 показано, что предобработка дифференцированных клеток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THP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-1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SkQ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1 перед добавлением активирующего сигнала приводит к достоверному увеличению активации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инфламмасомы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и  повышению продукции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провоспалительного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цитокина 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IL</w:t>
      </w:r>
      <w:r w:rsidRPr="009D43F2">
        <w:rPr>
          <w:rFonts w:ascii="Times New Roman" w:hAnsi="Times New Roman"/>
          <w:color w:val="000000"/>
          <w:sz w:val="24"/>
          <w:szCs w:val="24"/>
        </w:rPr>
        <w:t>-1</w:t>
      </w:r>
      <w:r w:rsidRPr="009D43F2">
        <w:rPr>
          <w:rFonts w:ascii="Times New Roman" w:hAnsi="Times New Roman"/>
          <w:color w:val="000000"/>
          <w:sz w:val="24"/>
          <w:szCs w:val="24"/>
          <w:lang w:val="en-US"/>
        </w:rPr>
        <w:t>β</w:t>
      </w:r>
      <w:r w:rsidRPr="009D43F2">
        <w:rPr>
          <w:rFonts w:ascii="Times New Roman" w:hAnsi="Times New Roman"/>
          <w:color w:val="000000"/>
          <w:sz w:val="24"/>
          <w:szCs w:val="24"/>
        </w:rPr>
        <w:t xml:space="preserve">. Полученные данные свидетельствуют о том, что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мтАФК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ингибируют активацию </w:t>
      </w:r>
      <w:proofErr w:type="spellStart"/>
      <w:r w:rsidRPr="009D43F2">
        <w:rPr>
          <w:rFonts w:ascii="Times New Roman" w:hAnsi="Times New Roman"/>
          <w:color w:val="000000"/>
          <w:sz w:val="24"/>
          <w:szCs w:val="24"/>
        </w:rPr>
        <w:t>инфламмасомы</w:t>
      </w:r>
      <w:proofErr w:type="spellEnd"/>
      <w:r w:rsidRPr="009D43F2">
        <w:rPr>
          <w:rFonts w:ascii="Times New Roman" w:hAnsi="Times New Roman"/>
          <w:color w:val="000000"/>
          <w:sz w:val="24"/>
          <w:szCs w:val="24"/>
        </w:rPr>
        <w:t xml:space="preserve"> в макрофагах.</w:t>
      </w:r>
    </w:p>
    <w:p w:rsidR="001F572B" w:rsidRPr="009D43F2" w:rsidRDefault="001F572B" w:rsidP="00A34952">
      <w:pPr>
        <w:keepNext/>
        <w:keepLines/>
        <w:spacing w:after="0" w:line="360" w:lineRule="auto"/>
        <w:ind w:right="283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D43F2">
        <w:rPr>
          <w:rFonts w:ascii="Times New Roman" w:hAnsi="Times New Roman"/>
          <w:sz w:val="24"/>
          <w:szCs w:val="24"/>
        </w:rPr>
        <w:lastRenderedPageBreak/>
        <w:t>Гистофизиологически</w:t>
      </w:r>
      <w:proofErr w:type="gramStart"/>
      <w:r w:rsidRPr="009D43F2">
        <w:rPr>
          <w:rFonts w:ascii="Times New Roman" w:hAnsi="Times New Roman"/>
          <w:sz w:val="24"/>
          <w:szCs w:val="24"/>
        </w:rPr>
        <w:t>.е</w:t>
      </w:r>
      <w:proofErr w:type="spellEnd"/>
      <w:proofErr w:type="gramEnd"/>
      <w:r w:rsidRPr="009D43F2">
        <w:rPr>
          <w:rFonts w:ascii="Times New Roman" w:hAnsi="Times New Roman"/>
          <w:sz w:val="24"/>
          <w:szCs w:val="24"/>
        </w:rPr>
        <w:t xml:space="preserve">  реакции </w:t>
      </w:r>
      <w:proofErr w:type="spellStart"/>
      <w:r w:rsidRPr="009D43F2">
        <w:rPr>
          <w:rFonts w:ascii="Times New Roman" w:hAnsi="Times New Roman"/>
          <w:sz w:val="24"/>
          <w:szCs w:val="24"/>
        </w:rPr>
        <w:t>эпителиаального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барьера толстой кишки у самок и самцов мышей  </w:t>
      </w:r>
      <w:r w:rsidRPr="009D43F2">
        <w:rPr>
          <w:rFonts w:ascii="Times New Roman" w:hAnsi="Times New Roman"/>
          <w:sz w:val="24"/>
          <w:szCs w:val="24"/>
          <w:lang w:val="en-US"/>
        </w:rPr>
        <w:t>C</w:t>
      </w:r>
      <w:r w:rsidRPr="009D43F2">
        <w:rPr>
          <w:rFonts w:ascii="Times New Roman" w:hAnsi="Times New Roman"/>
          <w:sz w:val="24"/>
          <w:szCs w:val="24"/>
        </w:rPr>
        <w:t>57</w:t>
      </w:r>
      <w:r w:rsidRPr="009D43F2">
        <w:rPr>
          <w:rFonts w:ascii="Times New Roman" w:hAnsi="Times New Roman"/>
          <w:sz w:val="24"/>
          <w:szCs w:val="24"/>
          <w:lang w:val="en-US"/>
        </w:rPr>
        <w:t>BL</w:t>
      </w:r>
      <w:r w:rsidRPr="009D43F2">
        <w:rPr>
          <w:rFonts w:ascii="Times New Roman" w:hAnsi="Times New Roman"/>
          <w:sz w:val="24"/>
          <w:szCs w:val="24"/>
        </w:rPr>
        <w:t xml:space="preserve">/6 при </w:t>
      </w:r>
      <w:proofErr w:type="spellStart"/>
      <w:r w:rsidRPr="009D43F2">
        <w:rPr>
          <w:rFonts w:ascii="Times New Roman" w:hAnsi="Times New Roman"/>
          <w:sz w:val="24"/>
          <w:szCs w:val="24"/>
        </w:rPr>
        <w:t>стрессорном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D43F2">
        <w:rPr>
          <w:rFonts w:ascii="Times New Roman" w:hAnsi="Times New Roman"/>
          <w:sz w:val="24"/>
          <w:szCs w:val="24"/>
        </w:rPr>
        <w:t>холодовом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воздействии, моделирующем умеренную гипотермию, отсутствуют: не выявлено изменений содержания клеток в слизистой оболочке, числа эндокринных клеток, объемной доли бокаловидных клеток и содержания в них нейтральных и </w:t>
      </w:r>
      <w:proofErr w:type="spellStart"/>
      <w:r w:rsidRPr="009D43F2">
        <w:rPr>
          <w:rFonts w:ascii="Times New Roman" w:hAnsi="Times New Roman"/>
          <w:sz w:val="24"/>
          <w:szCs w:val="24"/>
        </w:rPr>
        <w:t>высокосульфатированных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муцинов. Однако</w:t>
      </w:r>
      <w:proofErr w:type="gramStart"/>
      <w:r w:rsidRPr="009D43F2">
        <w:rPr>
          <w:rFonts w:ascii="Times New Roman" w:hAnsi="Times New Roman"/>
          <w:sz w:val="24"/>
          <w:szCs w:val="24"/>
        </w:rPr>
        <w:t>,</w:t>
      </w:r>
      <w:proofErr w:type="gramEnd"/>
      <w:r w:rsidRPr="009D43F2">
        <w:rPr>
          <w:rFonts w:ascii="Times New Roman" w:hAnsi="Times New Roman"/>
          <w:sz w:val="24"/>
          <w:szCs w:val="24"/>
        </w:rPr>
        <w:t xml:space="preserve"> у самцов мышей контрольной и опытной групп  в эпителиальной выстилке толстой кишки было больше бокаловидных клеток. Таким образом, в выбранном режиме  </w:t>
      </w:r>
      <w:proofErr w:type="spellStart"/>
      <w:r w:rsidRPr="009D43F2">
        <w:rPr>
          <w:rFonts w:ascii="Times New Roman" w:hAnsi="Times New Roman"/>
          <w:sz w:val="24"/>
          <w:szCs w:val="24"/>
        </w:rPr>
        <w:t>холодовое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воздействие не оказывало </w:t>
      </w:r>
      <w:proofErr w:type="spellStart"/>
      <w:r w:rsidRPr="009D43F2">
        <w:rPr>
          <w:rFonts w:ascii="Times New Roman" w:hAnsi="Times New Roman"/>
          <w:sz w:val="24"/>
          <w:szCs w:val="24"/>
        </w:rPr>
        <w:t>стрессорного</w:t>
      </w:r>
      <w:proofErr w:type="spellEnd"/>
      <w:r w:rsidRPr="009D43F2">
        <w:rPr>
          <w:rFonts w:ascii="Times New Roman" w:hAnsi="Times New Roman"/>
          <w:sz w:val="24"/>
          <w:szCs w:val="24"/>
        </w:rPr>
        <w:t xml:space="preserve"> эффекта ни у самцов, ни у самок. </w:t>
      </w:r>
    </w:p>
    <w:p w:rsidR="003277AE" w:rsidRPr="003277AE" w:rsidRDefault="001F572B" w:rsidP="00166C3F">
      <w:pPr>
        <w:pStyle w:val="a5"/>
        <w:adjustRightInd w:val="0"/>
        <w:snapToGrid w:val="0"/>
        <w:spacing w:after="120" w:line="360" w:lineRule="auto"/>
        <w:ind w:left="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  <w:r w:rsidRPr="009D43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В настоящем исследовании был проведено исследование влияния отдельных компонентов внеклеточного матрикса на культивирование ИПСК человека и разработан протокол дифференцировки ИПСК в эпидермальном направлении. Для каждого из использованных матриксов была проведена оценка эффективности обеспечиваемой адгезии ИПСК и способности к поддержанию роста их колоний в течение нескольких пассажей, при этом наиболее эффективным при культивировании субстратом оказался ламинин. Разработан эффективный протокол эпидермальной дифференцировки плюрипотентных клеток. Полученные результаты будут использованы при создание тканевых эквивалентов кожи</w:t>
      </w:r>
    </w:p>
    <w:p w:rsidR="003277AE" w:rsidRPr="003277AE" w:rsidRDefault="003277AE" w:rsidP="003277AE">
      <w:pPr>
        <w:pStyle w:val="a5"/>
        <w:adjustRightInd w:val="0"/>
        <w:snapToGrid w:val="0"/>
        <w:spacing w:after="120" w:line="240" w:lineRule="auto"/>
        <w:ind w:left="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F572B" w:rsidRPr="00166C3F" w:rsidRDefault="00166C3F" w:rsidP="00166C3F">
      <w:pPr>
        <w:pStyle w:val="a5"/>
        <w:adjustRightInd w:val="0"/>
        <w:snapToGrid w:val="0"/>
        <w:spacing w:after="120" w:line="24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</w:rPr>
        <w:t>Публикации: книги – 1, статьи- 4, доклады - 2</w:t>
      </w:r>
    </w:p>
    <w:p w:rsidR="001F572B" w:rsidRPr="009D43F2" w:rsidRDefault="001F572B" w:rsidP="00166C3F">
      <w:pPr>
        <w:tabs>
          <w:tab w:val="left" w:pos="1466"/>
        </w:tabs>
        <w:spacing w:after="0" w:line="360" w:lineRule="auto"/>
        <w:ind w:right="-2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1F572B" w:rsidRPr="009D43F2" w:rsidRDefault="001F572B" w:rsidP="009173BA">
      <w:pPr>
        <w:tabs>
          <w:tab w:val="left" w:pos="1466"/>
        </w:tabs>
        <w:spacing w:after="0" w:line="360" w:lineRule="auto"/>
        <w:ind w:right="-2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1F572B" w:rsidRPr="009D43F2" w:rsidRDefault="001F572B" w:rsidP="00A620A4">
      <w:pPr>
        <w:spacing w:after="100" w:line="36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</w:p>
    <w:p w:rsidR="001F572B" w:rsidRPr="009D43F2" w:rsidRDefault="001F572B" w:rsidP="00786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72B" w:rsidRPr="009D43F2" w:rsidRDefault="001F572B" w:rsidP="001B59C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F572B" w:rsidRPr="009D43F2" w:rsidRDefault="001F572B" w:rsidP="009B1A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F572B" w:rsidRPr="009D43F2" w:rsidSect="00A9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053E"/>
    <w:multiLevelType w:val="hybridMultilevel"/>
    <w:tmpl w:val="3DEAA7B8"/>
    <w:lvl w:ilvl="0" w:tplc="D7962A7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0BE"/>
    <w:rsid w:val="00082235"/>
    <w:rsid w:val="00147942"/>
    <w:rsid w:val="00166C3F"/>
    <w:rsid w:val="00187B95"/>
    <w:rsid w:val="001B59C0"/>
    <w:rsid w:val="001F116D"/>
    <w:rsid w:val="001F572B"/>
    <w:rsid w:val="00283784"/>
    <w:rsid w:val="002D79C0"/>
    <w:rsid w:val="002F0992"/>
    <w:rsid w:val="00321D9A"/>
    <w:rsid w:val="003277AE"/>
    <w:rsid w:val="003E2F9B"/>
    <w:rsid w:val="004109AE"/>
    <w:rsid w:val="004B3586"/>
    <w:rsid w:val="004F2EC0"/>
    <w:rsid w:val="004F59C1"/>
    <w:rsid w:val="00516B6A"/>
    <w:rsid w:val="005227B0"/>
    <w:rsid w:val="00535D3C"/>
    <w:rsid w:val="00611112"/>
    <w:rsid w:val="00630A25"/>
    <w:rsid w:val="00643670"/>
    <w:rsid w:val="0068140C"/>
    <w:rsid w:val="006E6C5E"/>
    <w:rsid w:val="0070361C"/>
    <w:rsid w:val="0073794C"/>
    <w:rsid w:val="00741473"/>
    <w:rsid w:val="007610BE"/>
    <w:rsid w:val="007862A2"/>
    <w:rsid w:val="00795879"/>
    <w:rsid w:val="00857A51"/>
    <w:rsid w:val="008C232C"/>
    <w:rsid w:val="008F6149"/>
    <w:rsid w:val="009173BA"/>
    <w:rsid w:val="0098456C"/>
    <w:rsid w:val="009933D5"/>
    <w:rsid w:val="00997F85"/>
    <w:rsid w:val="009B1A58"/>
    <w:rsid w:val="009B38CA"/>
    <w:rsid w:val="009D43F2"/>
    <w:rsid w:val="009D4604"/>
    <w:rsid w:val="009E49D1"/>
    <w:rsid w:val="00A32DC0"/>
    <w:rsid w:val="00A34952"/>
    <w:rsid w:val="00A5148F"/>
    <w:rsid w:val="00A620A4"/>
    <w:rsid w:val="00A937E3"/>
    <w:rsid w:val="00AA1372"/>
    <w:rsid w:val="00AA5BC0"/>
    <w:rsid w:val="00AB5E1D"/>
    <w:rsid w:val="00B410A1"/>
    <w:rsid w:val="00B83B45"/>
    <w:rsid w:val="00BB3711"/>
    <w:rsid w:val="00BE512E"/>
    <w:rsid w:val="00BF6ABA"/>
    <w:rsid w:val="00C216FB"/>
    <w:rsid w:val="00C41DCE"/>
    <w:rsid w:val="00C742E6"/>
    <w:rsid w:val="00C95580"/>
    <w:rsid w:val="00C96A02"/>
    <w:rsid w:val="00CD3D24"/>
    <w:rsid w:val="00D0552D"/>
    <w:rsid w:val="00D20CCB"/>
    <w:rsid w:val="00D67EF4"/>
    <w:rsid w:val="00D80EC3"/>
    <w:rsid w:val="00DD2E4A"/>
    <w:rsid w:val="00ED014C"/>
    <w:rsid w:val="00F04B81"/>
    <w:rsid w:val="00F15AB9"/>
    <w:rsid w:val="00F616B5"/>
    <w:rsid w:val="00F625BB"/>
    <w:rsid w:val="00F6787B"/>
    <w:rsid w:val="00FA28BA"/>
    <w:rsid w:val="00FB5139"/>
    <w:rsid w:val="00FD3BF5"/>
    <w:rsid w:val="00FD5F58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B51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7A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3281</Words>
  <Characters>18708</Characters>
  <Application>Microsoft Office Word</Application>
  <DocSecurity>0</DocSecurity>
  <Lines>155</Lines>
  <Paragraphs>43</Paragraphs>
  <ScaleCrop>false</ScaleCrop>
  <Company/>
  <LinksUpToDate>false</LinksUpToDate>
  <CharactersWithSpaces>21946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 университет имени М</dc:title>
  <dc:subject/>
  <dc:creator>Makarova</dc:creator>
  <cp:keywords/>
  <dc:description/>
  <cp:lastModifiedBy>Makarova</cp:lastModifiedBy>
  <cp:revision>6</cp:revision>
  <cp:lastPrinted>2019-12-13T08:24:00Z</cp:lastPrinted>
  <dcterms:created xsi:type="dcterms:W3CDTF">2019-12-13T15:19:00Z</dcterms:created>
  <dcterms:modified xsi:type="dcterms:W3CDTF">2019-12-17T07:34:00Z</dcterms:modified>
</cp:coreProperties>
</file>