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32F4" w14:textId="3462F02C" w:rsidR="00AA7721" w:rsidRPr="000A5AA8" w:rsidRDefault="00AA7721" w:rsidP="000A5AA8">
      <w:pPr>
        <w:jc w:val="center"/>
        <w:rPr>
          <w:b/>
          <w:lang w:val="en-US"/>
        </w:rPr>
      </w:pPr>
      <w:r w:rsidRPr="000A5AA8">
        <w:rPr>
          <w:b/>
          <w:lang w:val="en-US"/>
        </w:rPr>
        <w:t>Solubility, speciation</w:t>
      </w:r>
      <w:bookmarkStart w:id="0" w:name="_GoBack"/>
      <w:bookmarkEnd w:id="0"/>
      <w:r w:rsidRPr="000A5AA8">
        <w:rPr>
          <w:b/>
          <w:lang w:val="en-US"/>
        </w:rPr>
        <w:t xml:space="preserve"> and solid phase formation of</w:t>
      </w:r>
    </w:p>
    <w:p w14:paraId="68957A78" w14:textId="0DA9565D" w:rsidR="00A06814" w:rsidRPr="000A5AA8" w:rsidRDefault="00AA7721" w:rsidP="000A5AA8">
      <w:pPr>
        <w:jc w:val="center"/>
        <w:rPr>
          <w:b/>
          <w:lang w:val="en-US"/>
        </w:rPr>
      </w:pPr>
      <w:r w:rsidRPr="000A5AA8">
        <w:rPr>
          <w:b/>
          <w:lang w:val="en-US"/>
        </w:rPr>
        <w:t>Pu(VI) in alkaline CaCl</w:t>
      </w:r>
      <w:r w:rsidRPr="000A5AA8">
        <w:rPr>
          <w:b/>
          <w:vertAlign w:val="subscript"/>
          <w:lang w:val="en-US"/>
        </w:rPr>
        <w:t>2</w:t>
      </w:r>
      <w:r w:rsidRPr="000A5AA8">
        <w:rPr>
          <w:b/>
          <w:lang w:val="en-US"/>
        </w:rPr>
        <w:t xml:space="preserve"> </w:t>
      </w:r>
      <w:r w:rsidR="00361C83" w:rsidRPr="000A5AA8">
        <w:rPr>
          <w:b/>
          <w:lang w:val="en-US"/>
        </w:rPr>
        <w:t xml:space="preserve">and </w:t>
      </w:r>
      <w:proofErr w:type="spellStart"/>
      <w:r w:rsidR="00361C83" w:rsidRPr="000A5AA8">
        <w:rPr>
          <w:b/>
          <w:lang w:val="en-US"/>
        </w:rPr>
        <w:t>NaCl</w:t>
      </w:r>
      <w:proofErr w:type="spellEnd"/>
      <w:r w:rsidR="00361C83" w:rsidRPr="000A5AA8">
        <w:rPr>
          <w:b/>
          <w:lang w:val="en-US"/>
        </w:rPr>
        <w:t xml:space="preserve"> </w:t>
      </w:r>
      <w:r w:rsidRPr="000A5AA8">
        <w:rPr>
          <w:b/>
          <w:lang w:val="en-US"/>
        </w:rPr>
        <w:t>solutions</w:t>
      </w:r>
    </w:p>
    <w:p w14:paraId="49883525" w14:textId="77777777" w:rsidR="00196766" w:rsidRPr="00DF41F8" w:rsidRDefault="00196766" w:rsidP="00A06814">
      <w:pPr>
        <w:pStyle w:val="titre1"/>
        <w:spacing w:before="0" w:after="0"/>
        <w:jc w:val="center"/>
        <w:rPr>
          <w:szCs w:val="22"/>
          <w:lang w:val="en-US"/>
        </w:rPr>
      </w:pPr>
    </w:p>
    <w:p w14:paraId="096BA755" w14:textId="77777777" w:rsidR="00196766" w:rsidRPr="00DF41F8" w:rsidRDefault="00AA7721" w:rsidP="00196766">
      <w:pPr>
        <w:pStyle w:val="a3"/>
        <w:tabs>
          <w:tab w:val="clear" w:pos="4252"/>
          <w:tab w:val="clear" w:pos="8504"/>
        </w:tabs>
        <w:wordWrap/>
        <w:snapToGrid/>
        <w:jc w:val="center"/>
        <w:rPr>
          <w:rFonts w:ascii="Times New Roman" w:eastAsia="MS Mincho"/>
          <w:sz w:val="22"/>
          <w:szCs w:val="22"/>
          <w:vertAlign w:val="superscript"/>
          <w:lang w:eastAsia="ja-JP"/>
        </w:rPr>
      </w:pPr>
      <w:r w:rsidRPr="00DF41F8">
        <w:rPr>
          <w:rFonts w:ascii="Times New Roman" w:eastAsia="MS Mincho"/>
          <w:sz w:val="22"/>
          <w:szCs w:val="22"/>
          <w:u w:val="single"/>
          <w:lang w:eastAsia="ja-JP"/>
        </w:rPr>
        <w:t>A. Kuzenkova</w:t>
      </w:r>
      <w:r w:rsidR="004E7093" w:rsidRPr="00DF41F8">
        <w:rPr>
          <w:rFonts w:ascii="Times New Roman" w:eastAsia="MS Mincho"/>
          <w:sz w:val="22"/>
          <w:szCs w:val="22"/>
          <w:u w:val="single"/>
          <w:vertAlign w:val="superscript"/>
          <w:lang w:eastAsia="ja-JP"/>
        </w:rPr>
        <w:t>1</w:t>
      </w:r>
      <w:r w:rsidRPr="00DF41F8">
        <w:rPr>
          <w:rFonts w:ascii="Times New Roman" w:eastAsia="MS Mincho"/>
          <w:sz w:val="22"/>
          <w:szCs w:val="22"/>
          <w:u w:val="single"/>
          <w:lang w:eastAsia="ja-JP"/>
        </w:rPr>
        <w:t>,</w:t>
      </w:r>
      <w:r w:rsidRPr="00DF41F8">
        <w:rPr>
          <w:rFonts w:ascii="Times New Roman" w:eastAsia="MS Mincho"/>
          <w:sz w:val="22"/>
          <w:szCs w:val="22"/>
          <w:lang w:eastAsia="ja-JP"/>
        </w:rPr>
        <w:t xml:space="preserve"> </w:t>
      </w:r>
      <w:r w:rsidR="00A4619E" w:rsidRPr="00DF41F8">
        <w:rPr>
          <w:rFonts w:ascii="Times New Roman" w:eastAsia="MS Mincho"/>
          <w:sz w:val="22"/>
          <w:szCs w:val="22"/>
          <w:lang w:eastAsia="ja-JP"/>
        </w:rPr>
        <w:t>D. Fellhauer</w:t>
      </w:r>
      <w:r w:rsidR="004E7093" w:rsidRPr="00DF41F8">
        <w:rPr>
          <w:rFonts w:ascii="Times New Roman" w:eastAsia="MS Mincho"/>
          <w:sz w:val="22"/>
          <w:szCs w:val="22"/>
          <w:vertAlign w:val="superscript"/>
          <w:lang w:eastAsia="ja-JP"/>
        </w:rPr>
        <w:t>2</w:t>
      </w:r>
      <w:r w:rsidR="00A4619E" w:rsidRPr="00DF41F8">
        <w:rPr>
          <w:rFonts w:ascii="Times New Roman" w:eastAsia="MS Mincho"/>
          <w:sz w:val="22"/>
          <w:szCs w:val="22"/>
          <w:lang w:eastAsia="ja-JP"/>
        </w:rPr>
        <w:t xml:space="preserve">, </w:t>
      </w:r>
      <w:r w:rsidRPr="00DF41F8">
        <w:rPr>
          <w:rFonts w:ascii="Times New Roman" w:eastAsia="MS Mincho"/>
          <w:sz w:val="22"/>
          <w:szCs w:val="22"/>
          <w:lang w:eastAsia="ja-JP"/>
        </w:rPr>
        <w:t>D. Schild</w:t>
      </w:r>
      <w:r w:rsidR="004E7093" w:rsidRPr="00DF41F8">
        <w:rPr>
          <w:rFonts w:ascii="Times New Roman" w:eastAsia="MS Mincho"/>
          <w:sz w:val="22"/>
          <w:szCs w:val="22"/>
          <w:vertAlign w:val="superscript"/>
          <w:lang w:eastAsia="ja-JP"/>
        </w:rPr>
        <w:t>2</w:t>
      </w:r>
      <w:r w:rsidRPr="00DF41F8">
        <w:rPr>
          <w:rFonts w:ascii="Times New Roman" w:eastAsia="MS Mincho"/>
          <w:sz w:val="22"/>
          <w:szCs w:val="22"/>
          <w:lang w:eastAsia="ja-JP"/>
        </w:rPr>
        <w:t xml:space="preserve">, </w:t>
      </w:r>
      <w:r w:rsidR="00531EAE" w:rsidRPr="00DF41F8">
        <w:rPr>
          <w:rFonts w:ascii="Times New Roman" w:eastAsia="MS Mincho"/>
          <w:sz w:val="22"/>
          <w:szCs w:val="22"/>
          <w:lang w:eastAsia="ja-JP"/>
        </w:rPr>
        <w:t>X</w:t>
      </w:r>
      <w:r w:rsidR="00AF225F" w:rsidRPr="00DF41F8">
        <w:rPr>
          <w:rFonts w:ascii="Times New Roman" w:eastAsia="MS Mincho"/>
          <w:sz w:val="22"/>
          <w:szCs w:val="22"/>
          <w:lang w:eastAsia="ja-JP"/>
        </w:rPr>
        <w:t>.</w:t>
      </w:r>
      <w:r w:rsidR="00531EAE" w:rsidRPr="00DF41F8">
        <w:rPr>
          <w:rFonts w:ascii="Times New Roman" w:eastAsia="MS Mincho"/>
          <w:sz w:val="22"/>
          <w:szCs w:val="22"/>
          <w:lang w:eastAsia="ja-JP"/>
        </w:rPr>
        <w:t xml:space="preserve"> Gaona</w:t>
      </w:r>
      <w:r w:rsidR="004E7093" w:rsidRPr="00DF41F8">
        <w:rPr>
          <w:rFonts w:ascii="Times New Roman" w:eastAsia="MS Mincho"/>
          <w:sz w:val="22"/>
          <w:szCs w:val="22"/>
          <w:vertAlign w:val="superscript"/>
          <w:lang w:eastAsia="ja-JP"/>
        </w:rPr>
        <w:t>2</w:t>
      </w:r>
      <w:r w:rsidR="00463371" w:rsidRPr="00DF41F8">
        <w:rPr>
          <w:rFonts w:ascii="Times New Roman"/>
          <w:sz w:val="22"/>
          <w:szCs w:val="22"/>
        </w:rPr>
        <w:t>,</w:t>
      </w:r>
      <w:r w:rsidR="00196766" w:rsidRPr="00DF41F8">
        <w:rPr>
          <w:rFonts w:ascii="Times New Roman"/>
          <w:sz w:val="22"/>
          <w:szCs w:val="22"/>
        </w:rPr>
        <w:t xml:space="preserve"> </w:t>
      </w:r>
      <w:r w:rsidR="00937713" w:rsidRPr="00DF41F8">
        <w:rPr>
          <w:rFonts w:ascii="Times New Roman"/>
          <w:sz w:val="22"/>
          <w:szCs w:val="22"/>
        </w:rPr>
        <w:t xml:space="preserve">J. </w:t>
      </w:r>
      <w:r w:rsidR="00937713">
        <w:rPr>
          <w:rFonts w:ascii="Times New Roman"/>
          <w:sz w:val="22"/>
          <w:szCs w:val="22"/>
        </w:rPr>
        <w:t>Rothe</w:t>
      </w:r>
      <w:r w:rsidR="00937713" w:rsidRPr="00DF41F8">
        <w:rPr>
          <w:rFonts w:ascii="Times New Roman"/>
          <w:sz w:val="22"/>
          <w:szCs w:val="22"/>
          <w:vertAlign w:val="superscript"/>
        </w:rPr>
        <w:t>2</w:t>
      </w:r>
      <w:r w:rsidR="00937713">
        <w:rPr>
          <w:rFonts w:ascii="Times New Roman"/>
          <w:sz w:val="22"/>
          <w:szCs w:val="22"/>
        </w:rPr>
        <w:t xml:space="preserve">, </w:t>
      </w:r>
      <w:r w:rsidRPr="00DF41F8">
        <w:rPr>
          <w:rFonts w:ascii="Times New Roman"/>
          <w:sz w:val="22"/>
          <w:szCs w:val="22"/>
        </w:rPr>
        <w:t>A. Romanchuk</w:t>
      </w:r>
      <w:r w:rsidR="004E7093" w:rsidRPr="00DF41F8">
        <w:rPr>
          <w:rFonts w:ascii="Times New Roman" w:eastAsia="MS Mincho"/>
          <w:sz w:val="22"/>
          <w:szCs w:val="22"/>
          <w:vertAlign w:val="superscript"/>
          <w:lang w:eastAsia="ja-JP"/>
        </w:rPr>
        <w:t>1</w:t>
      </w:r>
      <w:r w:rsidRPr="00DF41F8">
        <w:rPr>
          <w:rFonts w:ascii="Times New Roman"/>
          <w:sz w:val="22"/>
          <w:szCs w:val="22"/>
        </w:rPr>
        <w:t xml:space="preserve">, </w:t>
      </w:r>
      <w:r w:rsidR="00201342">
        <w:rPr>
          <w:rFonts w:ascii="Times New Roman"/>
          <w:sz w:val="22"/>
          <w:szCs w:val="22"/>
        </w:rPr>
        <w:t>S. Kalmykov</w:t>
      </w:r>
      <w:r w:rsidR="00201342" w:rsidRPr="00201342">
        <w:rPr>
          <w:rFonts w:ascii="Times New Roman"/>
          <w:sz w:val="22"/>
          <w:szCs w:val="22"/>
          <w:vertAlign w:val="superscript"/>
        </w:rPr>
        <w:t>1</w:t>
      </w:r>
      <w:r w:rsidR="00201342">
        <w:rPr>
          <w:rFonts w:ascii="Times New Roman"/>
          <w:sz w:val="22"/>
          <w:szCs w:val="22"/>
        </w:rPr>
        <w:t xml:space="preserve">, </w:t>
      </w:r>
      <w:r w:rsidR="002F197C" w:rsidRPr="00DF41F8">
        <w:rPr>
          <w:rFonts w:ascii="Times New Roman"/>
          <w:sz w:val="22"/>
          <w:szCs w:val="22"/>
        </w:rPr>
        <w:t>M</w:t>
      </w:r>
      <w:r w:rsidR="00AF225F" w:rsidRPr="00DF41F8">
        <w:rPr>
          <w:rFonts w:ascii="Times New Roman"/>
          <w:sz w:val="22"/>
          <w:szCs w:val="22"/>
        </w:rPr>
        <w:t>.</w:t>
      </w:r>
      <w:r w:rsidR="002F197C" w:rsidRPr="00DF41F8">
        <w:rPr>
          <w:rFonts w:ascii="Times New Roman"/>
          <w:sz w:val="22"/>
          <w:szCs w:val="22"/>
        </w:rPr>
        <w:t xml:space="preserve"> Altmaier</w:t>
      </w:r>
      <w:r w:rsidR="004E7093" w:rsidRPr="00DF41F8">
        <w:rPr>
          <w:rFonts w:ascii="Times New Roman" w:eastAsia="MS Mincho"/>
          <w:sz w:val="22"/>
          <w:szCs w:val="22"/>
          <w:vertAlign w:val="superscript"/>
          <w:lang w:eastAsia="ja-JP"/>
        </w:rPr>
        <w:t>2</w:t>
      </w:r>
    </w:p>
    <w:p w14:paraId="01FF2806" w14:textId="77777777" w:rsidR="00196766" w:rsidRPr="00DF41F8" w:rsidRDefault="00196766" w:rsidP="00196766">
      <w:pPr>
        <w:pStyle w:val="titre1"/>
        <w:spacing w:before="0" w:after="0"/>
        <w:jc w:val="center"/>
        <w:rPr>
          <w:b w:val="0"/>
          <w:szCs w:val="22"/>
          <w:lang w:val="en-US"/>
        </w:rPr>
      </w:pPr>
    </w:p>
    <w:p w14:paraId="34AF0DE0" w14:textId="1AE3FCBC" w:rsidR="004E7093" w:rsidRDefault="00893710" w:rsidP="00330B64">
      <w:pPr>
        <w:jc w:val="center"/>
        <w:rPr>
          <w:rFonts w:eastAsia="+mn-ea"/>
          <w:i/>
          <w:iCs/>
          <w:sz w:val="22"/>
          <w:szCs w:val="22"/>
          <w:lang w:val="en-US" w:bidi="he-IL"/>
        </w:rPr>
      </w:pPr>
      <w:r w:rsidRPr="00A07832">
        <w:rPr>
          <w:rFonts w:eastAsia="+mn-ea"/>
          <w:i/>
          <w:iCs/>
          <w:sz w:val="22"/>
          <w:szCs w:val="22"/>
          <w:vertAlign w:val="superscript"/>
          <w:lang w:val="en-US" w:bidi="he-IL"/>
        </w:rPr>
        <w:t>1</w:t>
      </w:r>
      <w:r w:rsidR="00D639E5">
        <w:rPr>
          <w:rFonts w:eastAsia="+mn-ea"/>
          <w:i/>
          <w:iCs/>
          <w:sz w:val="22"/>
          <w:szCs w:val="22"/>
          <w:lang w:val="en-US" w:bidi="he-IL"/>
        </w:rPr>
        <w:t xml:space="preserve"> </w:t>
      </w:r>
      <w:proofErr w:type="spellStart"/>
      <w:r w:rsidR="00D639E5">
        <w:rPr>
          <w:rFonts w:eastAsia="+mn-ea"/>
          <w:i/>
          <w:iCs/>
          <w:sz w:val="22"/>
          <w:szCs w:val="22"/>
          <w:lang w:val="en-US" w:bidi="he-IL"/>
        </w:rPr>
        <w:t>L</w:t>
      </w:r>
      <w:r w:rsidR="00D639E5" w:rsidRPr="00D639E5">
        <w:rPr>
          <w:rFonts w:eastAsia="+mn-ea"/>
          <w:i/>
          <w:iCs/>
          <w:sz w:val="22"/>
          <w:szCs w:val="22"/>
          <w:lang w:val="en-US" w:bidi="he-IL"/>
        </w:rPr>
        <w:t>omonosov</w:t>
      </w:r>
      <w:proofErr w:type="spellEnd"/>
      <w:r w:rsidR="00D639E5" w:rsidRPr="00D639E5">
        <w:rPr>
          <w:rFonts w:eastAsia="+mn-ea"/>
          <w:i/>
          <w:iCs/>
          <w:sz w:val="22"/>
          <w:szCs w:val="22"/>
          <w:lang w:val="en-US" w:bidi="he-IL"/>
        </w:rPr>
        <w:t xml:space="preserve"> </w:t>
      </w:r>
      <w:r w:rsidR="004E7093">
        <w:rPr>
          <w:rFonts w:eastAsia="+mn-ea"/>
          <w:i/>
          <w:iCs/>
          <w:sz w:val="22"/>
          <w:szCs w:val="22"/>
          <w:lang w:val="en-US" w:bidi="he-IL"/>
        </w:rPr>
        <w:t>Moscow State University, Moscow, Russia</w:t>
      </w:r>
    </w:p>
    <w:p w14:paraId="3AB41DD9" w14:textId="77777777" w:rsidR="00330B64" w:rsidRPr="005A6115" w:rsidRDefault="00893710" w:rsidP="00330B64">
      <w:pPr>
        <w:jc w:val="center"/>
        <w:rPr>
          <w:rFonts w:eastAsia="+mn-ea"/>
          <w:i/>
          <w:iCs/>
          <w:sz w:val="22"/>
          <w:szCs w:val="22"/>
          <w:lang w:val="en-US" w:bidi="he-IL"/>
        </w:rPr>
      </w:pPr>
      <w:r>
        <w:rPr>
          <w:rFonts w:eastAsia="+mn-ea"/>
          <w:i/>
          <w:iCs/>
          <w:sz w:val="22"/>
          <w:szCs w:val="22"/>
          <w:vertAlign w:val="superscript"/>
          <w:lang w:val="en-US" w:bidi="he-IL"/>
        </w:rPr>
        <w:t>2</w:t>
      </w:r>
      <w:r w:rsidR="004E7093" w:rsidRPr="005A6115">
        <w:rPr>
          <w:rFonts w:eastAsia="+mn-ea"/>
          <w:i/>
          <w:iCs/>
          <w:sz w:val="22"/>
          <w:szCs w:val="22"/>
          <w:lang w:val="en-US" w:bidi="he-IL"/>
        </w:rPr>
        <w:t>Karlsruhe Institute of Technology</w:t>
      </w:r>
      <w:r w:rsidR="004E7093">
        <w:rPr>
          <w:rFonts w:eastAsia="+mn-ea"/>
          <w:i/>
          <w:iCs/>
          <w:sz w:val="22"/>
          <w:szCs w:val="22"/>
          <w:lang w:val="en-US" w:bidi="he-IL"/>
        </w:rPr>
        <w:t>-</w:t>
      </w:r>
      <w:r w:rsidR="00330B64" w:rsidRPr="005A6115">
        <w:rPr>
          <w:rFonts w:eastAsia="+mn-ea"/>
          <w:i/>
          <w:iCs/>
          <w:sz w:val="22"/>
          <w:szCs w:val="22"/>
          <w:lang w:val="en-US" w:bidi="he-IL"/>
        </w:rPr>
        <w:t>Institute for Nuclear Waste Disposal (INE)</w:t>
      </w:r>
      <w:r w:rsidR="004E7093">
        <w:rPr>
          <w:rFonts w:eastAsia="+mn-ea"/>
          <w:i/>
          <w:iCs/>
          <w:sz w:val="22"/>
          <w:szCs w:val="22"/>
          <w:lang w:val="en-US" w:bidi="he-IL"/>
        </w:rPr>
        <w:t>,</w:t>
      </w:r>
      <w:r w:rsidR="00330B64" w:rsidRPr="005A6115">
        <w:rPr>
          <w:rFonts w:eastAsia="+mn-ea"/>
          <w:i/>
          <w:iCs/>
          <w:sz w:val="22"/>
          <w:szCs w:val="22"/>
          <w:lang w:val="en-US" w:bidi="he-IL"/>
        </w:rPr>
        <w:t xml:space="preserve"> Karlsruhe, Germany</w:t>
      </w:r>
    </w:p>
    <w:p w14:paraId="2AE9E5A6" w14:textId="77777777" w:rsidR="00531EAE" w:rsidRPr="007750B8" w:rsidRDefault="00531EAE" w:rsidP="00A06814">
      <w:pPr>
        <w:pStyle w:val="paragraphe"/>
        <w:rPr>
          <w:szCs w:val="22"/>
          <w:lang w:val="en-US"/>
        </w:rPr>
      </w:pPr>
    </w:p>
    <w:p w14:paraId="3DBD417A" w14:textId="1BD85754" w:rsidR="009F00CC" w:rsidRDefault="009F00CC" w:rsidP="009F00CC">
      <w:pPr>
        <w:rPr>
          <w:rStyle w:val="afb"/>
          <w:b/>
          <w:i w:val="0"/>
          <w:color w:val="000000" w:themeColor="text1"/>
        </w:rPr>
      </w:pPr>
      <w:r>
        <w:rPr>
          <w:rStyle w:val="afb"/>
          <w:b/>
          <w:i w:val="0"/>
          <w:color w:val="000000" w:themeColor="text1"/>
        </w:rPr>
        <w:t>INTRODUCTION</w:t>
      </w:r>
    </w:p>
    <w:p w14:paraId="64A4A845" w14:textId="77777777" w:rsidR="009F00CC" w:rsidRPr="009F00CC" w:rsidRDefault="009F00CC" w:rsidP="009F00CC">
      <w:pPr>
        <w:rPr>
          <w:rStyle w:val="afb"/>
          <w:b/>
          <w:i w:val="0"/>
          <w:color w:val="000000" w:themeColor="text1"/>
        </w:rPr>
      </w:pPr>
    </w:p>
    <w:p w14:paraId="6A1BE6A5" w14:textId="77777777" w:rsidR="004E62D8" w:rsidRDefault="004E62D8" w:rsidP="004E62D8">
      <w:pPr>
        <w:jc w:val="both"/>
        <w:rPr>
          <w:sz w:val="22"/>
          <w:szCs w:val="22"/>
          <w:lang w:val="en-US" w:eastAsia="fr-FR"/>
        </w:rPr>
      </w:pPr>
      <w:r>
        <w:rPr>
          <w:sz w:val="22"/>
          <w:szCs w:val="22"/>
          <w:lang w:val="en-US" w:eastAsia="fr-FR"/>
        </w:rPr>
        <w:t xml:space="preserve">Within the An(VI) series, the </w:t>
      </w:r>
      <w:r w:rsidR="009B4E09">
        <w:rPr>
          <w:sz w:val="22"/>
          <w:szCs w:val="22"/>
          <w:lang w:val="en-US" w:eastAsia="fr-FR"/>
        </w:rPr>
        <w:t xml:space="preserve">hydrolysis behavior </w:t>
      </w:r>
      <w:r>
        <w:rPr>
          <w:sz w:val="22"/>
          <w:szCs w:val="22"/>
          <w:lang w:val="en-US" w:eastAsia="fr-FR"/>
        </w:rPr>
        <w:t xml:space="preserve">of Pu(VI) </w:t>
      </w:r>
      <w:r w:rsidR="009B4E09">
        <w:rPr>
          <w:sz w:val="22"/>
          <w:szCs w:val="22"/>
          <w:lang w:val="en-US" w:eastAsia="fr-FR"/>
        </w:rPr>
        <w:t xml:space="preserve">in aqueous solution </w:t>
      </w:r>
      <w:r w:rsidR="00937713">
        <w:rPr>
          <w:sz w:val="22"/>
          <w:szCs w:val="22"/>
          <w:lang w:val="en-US" w:eastAsia="fr-FR"/>
        </w:rPr>
        <w:t xml:space="preserve">shows some unique features </w:t>
      </w:r>
      <w:r w:rsidR="009B4E09">
        <w:rPr>
          <w:sz w:val="22"/>
          <w:szCs w:val="22"/>
          <w:lang w:val="en-US" w:eastAsia="fr-FR"/>
        </w:rPr>
        <w:t xml:space="preserve">that </w:t>
      </w:r>
      <w:r w:rsidR="000C60CE">
        <w:rPr>
          <w:sz w:val="22"/>
          <w:szCs w:val="22"/>
          <w:lang w:val="en-US" w:eastAsia="fr-FR"/>
        </w:rPr>
        <w:t>are</w:t>
      </w:r>
      <w:r w:rsidR="009B4E09">
        <w:rPr>
          <w:sz w:val="22"/>
          <w:szCs w:val="22"/>
          <w:lang w:val="en-US" w:eastAsia="fr-FR"/>
        </w:rPr>
        <w:t xml:space="preserve"> </w:t>
      </w:r>
      <w:r w:rsidR="00937713">
        <w:rPr>
          <w:sz w:val="22"/>
          <w:szCs w:val="22"/>
          <w:lang w:val="en-US" w:eastAsia="fr-FR"/>
        </w:rPr>
        <w:t>c</w:t>
      </w:r>
      <w:r w:rsidR="007B40B9">
        <w:rPr>
          <w:sz w:val="22"/>
          <w:szCs w:val="22"/>
          <w:lang w:val="en-US" w:eastAsia="fr-FR"/>
        </w:rPr>
        <w:t xml:space="preserve">learly different from that of </w:t>
      </w:r>
      <w:r>
        <w:rPr>
          <w:sz w:val="22"/>
          <w:szCs w:val="22"/>
          <w:lang w:val="en-US" w:eastAsia="fr-FR"/>
        </w:rPr>
        <w:t xml:space="preserve">U(VI) and Np(VI). While </w:t>
      </w:r>
      <w:r w:rsidR="009E5974">
        <w:rPr>
          <w:sz w:val="22"/>
          <w:szCs w:val="22"/>
          <w:lang w:val="en-US" w:eastAsia="fr-FR"/>
        </w:rPr>
        <w:t xml:space="preserve">U(VI) and Np(VI) readily form sparingly soluble </w:t>
      </w:r>
      <w:r w:rsidR="008D3384">
        <w:rPr>
          <w:sz w:val="22"/>
          <w:szCs w:val="22"/>
          <w:lang w:val="en-US" w:eastAsia="fr-FR"/>
        </w:rPr>
        <w:t>An(VI)-</w:t>
      </w:r>
      <w:r w:rsidR="009E5974">
        <w:rPr>
          <w:sz w:val="22"/>
          <w:szCs w:val="22"/>
          <w:lang w:val="en-US" w:eastAsia="fr-FR"/>
        </w:rPr>
        <w:t>(</w:t>
      </w:r>
      <w:proofErr w:type="spellStart"/>
      <w:r w:rsidR="009E5974">
        <w:rPr>
          <w:sz w:val="22"/>
          <w:szCs w:val="22"/>
          <w:lang w:val="en-US" w:eastAsia="fr-FR"/>
        </w:rPr>
        <w:t>hydr</w:t>
      </w:r>
      <w:proofErr w:type="spellEnd"/>
      <w:r w:rsidR="009E5974">
        <w:rPr>
          <w:sz w:val="22"/>
          <w:szCs w:val="22"/>
          <w:lang w:val="en-US" w:eastAsia="fr-FR"/>
        </w:rPr>
        <w:t xml:space="preserve">)oxide </w:t>
      </w:r>
      <w:r w:rsidR="008D3384">
        <w:rPr>
          <w:sz w:val="22"/>
          <w:szCs w:val="22"/>
          <w:lang w:val="en-US" w:eastAsia="fr-FR"/>
        </w:rPr>
        <w:t>solid phases</w:t>
      </w:r>
      <w:r w:rsidR="009E5974">
        <w:rPr>
          <w:sz w:val="22"/>
          <w:szCs w:val="22"/>
          <w:lang w:val="en-US" w:eastAsia="fr-FR"/>
        </w:rPr>
        <w:t xml:space="preserve"> in neutral to alkaline solution</w:t>
      </w:r>
      <w:r w:rsidR="007B40B9">
        <w:rPr>
          <w:sz w:val="22"/>
          <w:szCs w:val="22"/>
          <w:lang w:val="en-US" w:eastAsia="fr-FR"/>
        </w:rPr>
        <w:t>s</w:t>
      </w:r>
      <w:r w:rsidR="009E5974">
        <w:rPr>
          <w:sz w:val="22"/>
          <w:szCs w:val="22"/>
          <w:lang w:val="en-US" w:eastAsia="fr-FR"/>
        </w:rPr>
        <w:t xml:space="preserve">, </w:t>
      </w:r>
      <w:r w:rsidR="009E5974" w:rsidRPr="009E5974">
        <w:rPr>
          <w:i/>
          <w:sz w:val="22"/>
          <w:szCs w:val="22"/>
          <w:lang w:val="en-US" w:eastAsia="fr-FR"/>
        </w:rPr>
        <w:t>e.g.</w:t>
      </w:r>
      <w:r w:rsidR="009E5974">
        <w:rPr>
          <w:sz w:val="22"/>
          <w:szCs w:val="22"/>
          <w:lang w:val="en-US" w:eastAsia="fr-FR"/>
        </w:rPr>
        <w:t xml:space="preserve"> </w:t>
      </w:r>
      <w:r w:rsidR="005E11EA" w:rsidRPr="00B27B99">
        <w:rPr>
          <w:sz w:val="22"/>
          <w:szCs w:val="22"/>
          <w:lang w:val="en-US" w:eastAsia="fr-FR"/>
        </w:rPr>
        <w:t>AnO</w:t>
      </w:r>
      <w:r w:rsidR="005E11EA">
        <w:rPr>
          <w:sz w:val="22"/>
          <w:szCs w:val="22"/>
          <w:vertAlign w:val="subscript"/>
          <w:lang w:val="en-US" w:eastAsia="fr-FR"/>
        </w:rPr>
        <w:t>2</w:t>
      </w:r>
      <w:r w:rsidR="005E11EA" w:rsidRPr="005E11EA">
        <w:rPr>
          <w:sz w:val="22"/>
          <w:szCs w:val="22"/>
          <w:lang w:val="en-US" w:eastAsia="fr-FR"/>
        </w:rPr>
        <w:t>(OH)</w:t>
      </w:r>
      <w:r w:rsidR="005E11EA">
        <w:rPr>
          <w:sz w:val="22"/>
          <w:szCs w:val="22"/>
          <w:vertAlign w:val="subscript"/>
          <w:lang w:val="en-US" w:eastAsia="fr-FR"/>
        </w:rPr>
        <w:t>2</w:t>
      </w:r>
      <w:r w:rsidR="005E11EA" w:rsidRPr="00B27B99">
        <w:rPr>
          <w:sz w:val="22"/>
          <w:szCs w:val="22"/>
          <w:lang w:val="en-US" w:eastAsia="fr-FR"/>
        </w:rPr>
        <w:sym w:font="Symbol" w:char="F0D7"/>
      </w:r>
      <w:r w:rsidR="005E11EA" w:rsidRPr="00B27B99">
        <w:rPr>
          <w:i/>
          <w:sz w:val="22"/>
          <w:szCs w:val="22"/>
          <w:lang w:val="en-US" w:eastAsia="fr-FR"/>
        </w:rPr>
        <w:t>x</w:t>
      </w:r>
      <w:r w:rsidR="005E11EA" w:rsidRPr="00B27B99">
        <w:rPr>
          <w:sz w:val="22"/>
          <w:szCs w:val="22"/>
          <w:lang w:val="en-US" w:eastAsia="fr-FR"/>
        </w:rPr>
        <w:t>H</w:t>
      </w:r>
      <w:r w:rsidR="005E11EA" w:rsidRPr="00B27B99">
        <w:rPr>
          <w:sz w:val="22"/>
          <w:szCs w:val="22"/>
          <w:vertAlign w:val="subscript"/>
          <w:lang w:val="en-US" w:eastAsia="fr-FR"/>
        </w:rPr>
        <w:t>2</w:t>
      </w:r>
      <w:r w:rsidR="005E11EA" w:rsidRPr="00B27B99">
        <w:rPr>
          <w:sz w:val="22"/>
          <w:szCs w:val="22"/>
          <w:lang w:val="en-US" w:eastAsia="fr-FR"/>
        </w:rPr>
        <w:t>O(</w:t>
      </w:r>
      <w:proofErr w:type="spellStart"/>
      <w:r w:rsidR="005E11EA" w:rsidRPr="00B27B99">
        <w:rPr>
          <w:sz w:val="22"/>
          <w:szCs w:val="22"/>
          <w:lang w:val="en-US" w:eastAsia="fr-FR"/>
        </w:rPr>
        <w:t>cr</w:t>
      </w:r>
      <w:proofErr w:type="spellEnd"/>
      <w:r w:rsidR="005E11EA" w:rsidRPr="00B27B99">
        <w:rPr>
          <w:sz w:val="22"/>
          <w:szCs w:val="22"/>
          <w:lang w:val="en-US" w:eastAsia="fr-FR"/>
        </w:rPr>
        <w:t>)</w:t>
      </w:r>
      <w:r w:rsidR="005E11EA">
        <w:rPr>
          <w:sz w:val="22"/>
          <w:szCs w:val="22"/>
          <w:lang w:val="en-US" w:eastAsia="fr-FR"/>
        </w:rPr>
        <w:t xml:space="preserve">, </w:t>
      </w:r>
      <w:r w:rsidR="005E11EA" w:rsidRPr="00B27B99">
        <w:rPr>
          <w:sz w:val="22"/>
          <w:szCs w:val="22"/>
          <w:lang w:val="en-US" w:eastAsia="fr-FR"/>
        </w:rPr>
        <w:t>Na</w:t>
      </w:r>
      <w:r w:rsidR="005E11EA" w:rsidRPr="00B27B99">
        <w:rPr>
          <w:sz w:val="22"/>
          <w:szCs w:val="22"/>
          <w:vertAlign w:val="subscript"/>
          <w:lang w:val="en-US" w:eastAsia="fr-FR"/>
        </w:rPr>
        <w:t>2</w:t>
      </w:r>
      <w:r w:rsidR="005E11EA" w:rsidRPr="00B27B99">
        <w:rPr>
          <w:sz w:val="22"/>
          <w:szCs w:val="22"/>
          <w:lang w:val="en-US" w:eastAsia="fr-FR"/>
        </w:rPr>
        <w:t>An</w:t>
      </w:r>
      <w:r w:rsidR="005E11EA" w:rsidRPr="00B27B99">
        <w:rPr>
          <w:sz w:val="22"/>
          <w:szCs w:val="22"/>
          <w:vertAlign w:val="subscript"/>
          <w:lang w:val="en-US" w:eastAsia="fr-FR"/>
        </w:rPr>
        <w:t>2</w:t>
      </w:r>
      <w:r w:rsidR="005E11EA" w:rsidRPr="00B27B99">
        <w:rPr>
          <w:sz w:val="22"/>
          <w:szCs w:val="22"/>
          <w:lang w:val="en-US" w:eastAsia="fr-FR"/>
        </w:rPr>
        <w:t>O</w:t>
      </w:r>
      <w:r w:rsidR="005E11EA" w:rsidRPr="00B27B99">
        <w:rPr>
          <w:sz w:val="22"/>
          <w:szCs w:val="22"/>
          <w:vertAlign w:val="subscript"/>
          <w:lang w:val="en-US" w:eastAsia="fr-FR"/>
        </w:rPr>
        <w:t>7</w:t>
      </w:r>
      <w:r w:rsidR="005E11EA" w:rsidRPr="00B27B99">
        <w:rPr>
          <w:sz w:val="22"/>
          <w:szCs w:val="22"/>
          <w:lang w:val="en-US" w:eastAsia="fr-FR"/>
        </w:rPr>
        <w:sym w:font="Symbol" w:char="F0D7"/>
      </w:r>
      <w:r w:rsidR="005E11EA" w:rsidRPr="00B27B99">
        <w:rPr>
          <w:i/>
          <w:sz w:val="22"/>
          <w:szCs w:val="22"/>
          <w:lang w:val="en-US" w:eastAsia="fr-FR"/>
        </w:rPr>
        <w:t>x</w:t>
      </w:r>
      <w:r w:rsidR="005E11EA" w:rsidRPr="00B27B99">
        <w:rPr>
          <w:sz w:val="22"/>
          <w:szCs w:val="22"/>
          <w:lang w:val="en-US" w:eastAsia="fr-FR"/>
        </w:rPr>
        <w:t>H</w:t>
      </w:r>
      <w:r w:rsidR="005E11EA" w:rsidRPr="00B27B99">
        <w:rPr>
          <w:sz w:val="22"/>
          <w:szCs w:val="22"/>
          <w:vertAlign w:val="subscript"/>
          <w:lang w:val="en-US" w:eastAsia="fr-FR"/>
        </w:rPr>
        <w:t>2</w:t>
      </w:r>
      <w:r w:rsidR="005E11EA" w:rsidRPr="00B27B99">
        <w:rPr>
          <w:sz w:val="22"/>
          <w:szCs w:val="22"/>
          <w:lang w:val="en-US" w:eastAsia="fr-FR"/>
        </w:rPr>
        <w:t>O(</w:t>
      </w:r>
      <w:proofErr w:type="spellStart"/>
      <w:r w:rsidR="005E11EA" w:rsidRPr="00B27B99">
        <w:rPr>
          <w:sz w:val="22"/>
          <w:szCs w:val="22"/>
          <w:lang w:val="en-US" w:eastAsia="fr-FR"/>
        </w:rPr>
        <w:t>cr</w:t>
      </w:r>
      <w:proofErr w:type="spellEnd"/>
      <w:r w:rsidR="005E11EA" w:rsidRPr="00B27B99">
        <w:rPr>
          <w:sz w:val="22"/>
          <w:szCs w:val="22"/>
          <w:lang w:val="en-US" w:eastAsia="fr-FR"/>
        </w:rPr>
        <w:t>) with</w:t>
      </w:r>
      <w:r w:rsidR="005E11EA" w:rsidRPr="00A07832">
        <w:rPr>
          <w:sz w:val="22"/>
          <w:szCs w:val="22"/>
          <w:lang w:val="en-US" w:eastAsia="fr-FR"/>
        </w:rPr>
        <w:t xml:space="preserve"> An = U [1] and Np [2]</w:t>
      </w:r>
      <w:r w:rsidR="0061169E" w:rsidRPr="00A07832">
        <w:rPr>
          <w:sz w:val="22"/>
          <w:szCs w:val="22"/>
          <w:lang w:val="en-US" w:eastAsia="fr-FR"/>
        </w:rPr>
        <w:t>,</w:t>
      </w:r>
      <w:r w:rsidR="005E11EA" w:rsidRPr="00A07832">
        <w:rPr>
          <w:sz w:val="22"/>
          <w:szCs w:val="22"/>
          <w:lang w:val="en-US" w:eastAsia="fr-FR"/>
        </w:rPr>
        <w:t xml:space="preserve"> </w:t>
      </w:r>
      <w:r w:rsidR="0061169E" w:rsidRPr="00A07832">
        <w:rPr>
          <w:sz w:val="22"/>
          <w:szCs w:val="22"/>
          <w:lang w:val="en-US" w:eastAsia="fr-FR"/>
        </w:rPr>
        <w:t xml:space="preserve">and </w:t>
      </w:r>
      <w:r w:rsidR="005E11EA" w:rsidRPr="00A07832">
        <w:rPr>
          <w:sz w:val="22"/>
          <w:szCs w:val="22"/>
          <w:lang w:val="en-US" w:eastAsia="fr-FR"/>
        </w:rPr>
        <w:t>CaU</w:t>
      </w:r>
      <w:r w:rsidR="005E11EA" w:rsidRPr="00A07832">
        <w:rPr>
          <w:sz w:val="22"/>
          <w:szCs w:val="22"/>
          <w:vertAlign w:val="subscript"/>
          <w:lang w:val="en-US" w:eastAsia="fr-FR"/>
        </w:rPr>
        <w:t>2</w:t>
      </w:r>
      <w:r w:rsidR="005E11EA" w:rsidRPr="00A07832">
        <w:rPr>
          <w:sz w:val="22"/>
          <w:szCs w:val="22"/>
          <w:lang w:val="en-US" w:eastAsia="fr-FR"/>
        </w:rPr>
        <w:t>O</w:t>
      </w:r>
      <w:r w:rsidR="005E11EA" w:rsidRPr="00A07832">
        <w:rPr>
          <w:sz w:val="22"/>
          <w:szCs w:val="22"/>
          <w:vertAlign w:val="subscript"/>
          <w:lang w:val="en-US" w:eastAsia="fr-FR"/>
        </w:rPr>
        <w:t>7</w:t>
      </w:r>
      <w:r w:rsidR="005E11EA" w:rsidRPr="00A07832">
        <w:rPr>
          <w:sz w:val="22"/>
          <w:szCs w:val="22"/>
          <w:lang w:val="en-US" w:eastAsia="fr-FR"/>
        </w:rPr>
        <w:t>∙3H</w:t>
      </w:r>
      <w:r w:rsidR="005E11EA" w:rsidRPr="00A07832">
        <w:rPr>
          <w:sz w:val="22"/>
          <w:szCs w:val="22"/>
          <w:vertAlign w:val="subscript"/>
          <w:lang w:val="en-US" w:eastAsia="fr-FR"/>
        </w:rPr>
        <w:t>2</w:t>
      </w:r>
      <w:r w:rsidR="005E11EA" w:rsidRPr="00A07832">
        <w:rPr>
          <w:sz w:val="22"/>
          <w:szCs w:val="22"/>
          <w:lang w:val="en-US" w:eastAsia="fr-FR"/>
        </w:rPr>
        <w:t>O(</w:t>
      </w:r>
      <w:proofErr w:type="spellStart"/>
      <w:r w:rsidR="005E11EA" w:rsidRPr="00A07832">
        <w:rPr>
          <w:sz w:val="22"/>
          <w:szCs w:val="22"/>
          <w:lang w:val="en-US" w:eastAsia="fr-FR"/>
        </w:rPr>
        <w:t>cr</w:t>
      </w:r>
      <w:proofErr w:type="spellEnd"/>
      <w:r w:rsidR="005E11EA" w:rsidRPr="00A07832">
        <w:rPr>
          <w:sz w:val="22"/>
          <w:szCs w:val="22"/>
          <w:lang w:val="en-US" w:eastAsia="fr-FR"/>
        </w:rPr>
        <w:t>)</w:t>
      </w:r>
      <w:r w:rsidR="00A91512" w:rsidRPr="00A07832">
        <w:rPr>
          <w:sz w:val="22"/>
          <w:szCs w:val="22"/>
          <w:lang w:val="en-US" w:eastAsia="fr-FR"/>
        </w:rPr>
        <w:t xml:space="preserve"> [3</w:t>
      </w:r>
      <w:r w:rsidR="00A07832" w:rsidRPr="00A07832">
        <w:rPr>
          <w:sz w:val="22"/>
          <w:szCs w:val="22"/>
          <w:lang w:val="en-US" w:eastAsia="fr-FR"/>
        </w:rPr>
        <w:t>, 4</w:t>
      </w:r>
      <w:r w:rsidR="00A91512" w:rsidRPr="00A07832">
        <w:rPr>
          <w:sz w:val="22"/>
          <w:szCs w:val="22"/>
          <w:lang w:val="en-US" w:eastAsia="fr-FR"/>
        </w:rPr>
        <w:t>]</w:t>
      </w:r>
      <w:r w:rsidR="005E11EA" w:rsidRPr="00A07832">
        <w:rPr>
          <w:sz w:val="22"/>
          <w:szCs w:val="22"/>
          <w:lang w:val="en-US" w:eastAsia="fr-FR"/>
        </w:rPr>
        <w:t xml:space="preserve">, </w:t>
      </w:r>
      <w:r w:rsidRPr="00A07832">
        <w:rPr>
          <w:sz w:val="22"/>
          <w:szCs w:val="22"/>
          <w:lang w:val="en-US" w:eastAsia="fr-FR"/>
        </w:rPr>
        <w:t xml:space="preserve">the </w:t>
      </w:r>
      <w:r w:rsidR="005E11EA" w:rsidRPr="00A07832">
        <w:rPr>
          <w:sz w:val="22"/>
          <w:szCs w:val="22"/>
          <w:lang w:val="en-US" w:eastAsia="fr-FR"/>
        </w:rPr>
        <w:t>hydrolytic behavior of Pu(VI) is dominated by the formation of dissolved polymeric hydrolysis products</w:t>
      </w:r>
      <w:r w:rsidR="00076D87" w:rsidRPr="00A07832">
        <w:rPr>
          <w:sz w:val="22"/>
          <w:szCs w:val="22"/>
          <w:lang w:val="en-US" w:eastAsia="fr-FR"/>
        </w:rPr>
        <w:t xml:space="preserve"> </w:t>
      </w:r>
      <w:r w:rsidR="005E11EA" w:rsidRPr="00A07832">
        <w:rPr>
          <w:sz w:val="22"/>
          <w:szCs w:val="22"/>
          <w:lang w:val="en-US" w:eastAsia="fr-FR"/>
        </w:rPr>
        <w:t>(PuO</w:t>
      </w:r>
      <w:r w:rsidR="005E11EA" w:rsidRPr="00A07832">
        <w:rPr>
          <w:sz w:val="22"/>
          <w:szCs w:val="22"/>
          <w:vertAlign w:val="subscript"/>
          <w:lang w:val="en-US" w:eastAsia="fr-FR"/>
        </w:rPr>
        <w:t>2</w:t>
      </w:r>
      <w:r w:rsidR="005E11EA" w:rsidRPr="00A07832">
        <w:rPr>
          <w:sz w:val="22"/>
          <w:szCs w:val="22"/>
          <w:lang w:val="en-US" w:eastAsia="fr-FR"/>
        </w:rPr>
        <w:t>)</w:t>
      </w:r>
      <w:r w:rsidR="00DF3D0B" w:rsidRPr="00A07832">
        <w:rPr>
          <w:sz w:val="22"/>
          <w:szCs w:val="22"/>
          <w:vertAlign w:val="subscript"/>
          <w:lang w:val="en-US" w:eastAsia="fr-FR"/>
        </w:rPr>
        <w:t>y</w:t>
      </w:r>
      <w:r w:rsidR="005E11EA" w:rsidRPr="00A07832">
        <w:rPr>
          <w:sz w:val="22"/>
          <w:szCs w:val="22"/>
          <w:lang w:val="en-US" w:eastAsia="fr-FR"/>
        </w:rPr>
        <w:t>(OH)</w:t>
      </w:r>
      <w:r w:rsidR="005E11EA" w:rsidRPr="00A07832">
        <w:rPr>
          <w:sz w:val="22"/>
          <w:szCs w:val="22"/>
          <w:vertAlign w:val="subscript"/>
          <w:lang w:val="en-US" w:eastAsia="fr-FR"/>
        </w:rPr>
        <w:t>x</w:t>
      </w:r>
      <w:r w:rsidR="00DF3D0B" w:rsidRPr="00A07832">
        <w:rPr>
          <w:sz w:val="22"/>
          <w:szCs w:val="22"/>
          <w:vertAlign w:val="superscript"/>
          <w:lang w:val="en-US" w:eastAsia="fr-FR"/>
        </w:rPr>
        <w:t>2y−x</w:t>
      </w:r>
      <w:r w:rsidR="005E11EA" w:rsidRPr="00A07832">
        <w:rPr>
          <w:sz w:val="22"/>
          <w:szCs w:val="22"/>
          <w:lang w:val="en-US" w:eastAsia="fr-FR"/>
        </w:rPr>
        <w:t>(</w:t>
      </w:r>
      <w:proofErr w:type="spellStart"/>
      <w:r w:rsidR="005E11EA" w:rsidRPr="00A07832">
        <w:rPr>
          <w:sz w:val="22"/>
          <w:szCs w:val="22"/>
          <w:lang w:val="en-US" w:eastAsia="fr-FR"/>
        </w:rPr>
        <w:t>aq</w:t>
      </w:r>
      <w:proofErr w:type="spellEnd"/>
      <w:r w:rsidR="005E11EA" w:rsidRPr="00A07832">
        <w:rPr>
          <w:sz w:val="22"/>
          <w:szCs w:val="22"/>
          <w:lang w:val="en-US" w:eastAsia="fr-FR"/>
        </w:rPr>
        <w:t xml:space="preserve">). </w:t>
      </w:r>
      <w:r w:rsidR="0061169E" w:rsidRPr="00A07832">
        <w:rPr>
          <w:sz w:val="22"/>
          <w:szCs w:val="22"/>
          <w:lang w:val="en-US" w:eastAsia="fr-FR"/>
        </w:rPr>
        <w:t>The latter are</w:t>
      </w:r>
      <w:r w:rsidR="00076D87" w:rsidRPr="00A07832">
        <w:rPr>
          <w:sz w:val="22"/>
          <w:szCs w:val="22"/>
          <w:lang w:val="en-US" w:eastAsia="fr-FR"/>
        </w:rPr>
        <w:t xml:space="preserve"> </w:t>
      </w:r>
      <w:r w:rsidR="0061169E" w:rsidRPr="00A07832">
        <w:rPr>
          <w:sz w:val="22"/>
          <w:szCs w:val="22"/>
          <w:lang w:val="en-US" w:eastAsia="fr-FR"/>
        </w:rPr>
        <w:t>metastable</w:t>
      </w:r>
      <w:r w:rsidR="009B4E09" w:rsidRPr="00A07832">
        <w:rPr>
          <w:sz w:val="22"/>
          <w:szCs w:val="22"/>
          <w:lang w:val="en-US" w:eastAsia="fr-FR"/>
        </w:rPr>
        <w:t>,</w:t>
      </w:r>
      <w:r w:rsidR="00076D87" w:rsidRPr="00A07832">
        <w:rPr>
          <w:sz w:val="22"/>
          <w:szCs w:val="22"/>
          <w:lang w:val="en-US" w:eastAsia="fr-FR"/>
        </w:rPr>
        <w:t xml:space="preserve"> </w:t>
      </w:r>
      <w:r w:rsidR="0061169E" w:rsidRPr="00A07832">
        <w:rPr>
          <w:sz w:val="22"/>
          <w:szCs w:val="22"/>
          <w:lang w:val="en-US" w:eastAsia="fr-FR"/>
        </w:rPr>
        <w:t>even at relatively high [Pu(VI</w:t>
      </w:r>
      <w:r w:rsidR="00DF3D0B" w:rsidRPr="00A07832">
        <w:rPr>
          <w:sz w:val="22"/>
          <w:szCs w:val="22"/>
          <w:lang w:val="en-US" w:eastAsia="fr-FR"/>
        </w:rPr>
        <w:t>)</w:t>
      </w:r>
      <w:r w:rsidR="0061169E" w:rsidRPr="00A07832">
        <w:rPr>
          <w:sz w:val="22"/>
          <w:szCs w:val="22"/>
          <w:lang w:val="en-US" w:eastAsia="fr-FR"/>
        </w:rPr>
        <w:t>]</w:t>
      </w:r>
      <w:r w:rsidR="0061169E" w:rsidRPr="00A07832">
        <w:rPr>
          <w:sz w:val="22"/>
          <w:szCs w:val="22"/>
          <w:vertAlign w:val="subscript"/>
          <w:lang w:val="en-US" w:eastAsia="fr-FR"/>
        </w:rPr>
        <w:t>tot</w:t>
      </w:r>
      <w:r w:rsidR="00D63C14" w:rsidRPr="00A07832">
        <w:rPr>
          <w:sz w:val="22"/>
          <w:szCs w:val="22"/>
          <w:lang w:val="en-US" w:eastAsia="fr-FR"/>
        </w:rPr>
        <w:t xml:space="preserve"> </w:t>
      </w:r>
      <w:r w:rsidR="00A91512" w:rsidRPr="00A07832">
        <w:rPr>
          <w:sz w:val="22"/>
          <w:szCs w:val="22"/>
          <w:lang w:val="en-US" w:eastAsia="fr-FR"/>
        </w:rPr>
        <w:t>[</w:t>
      </w:r>
      <w:r w:rsidR="00A07832" w:rsidRPr="00A07832">
        <w:rPr>
          <w:sz w:val="22"/>
          <w:szCs w:val="22"/>
          <w:lang w:val="en-US" w:eastAsia="fr-FR"/>
        </w:rPr>
        <w:t>5</w:t>
      </w:r>
      <w:r w:rsidR="00A91512" w:rsidRPr="00A07832">
        <w:rPr>
          <w:sz w:val="22"/>
          <w:szCs w:val="22"/>
          <w:lang w:val="en-US" w:eastAsia="fr-FR"/>
        </w:rPr>
        <w:t>]</w:t>
      </w:r>
      <w:r w:rsidR="00D60807" w:rsidRPr="00A07832">
        <w:rPr>
          <w:sz w:val="22"/>
          <w:szCs w:val="22"/>
          <w:lang w:val="en-US" w:eastAsia="fr-FR"/>
        </w:rPr>
        <w:t>,</w:t>
      </w:r>
      <w:r w:rsidR="00A91512" w:rsidRPr="00A07832">
        <w:rPr>
          <w:sz w:val="22"/>
          <w:szCs w:val="22"/>
          <w:lang w:val="en-US" w:eastAsia="fr-FR"/>
        </w:rPr>
        <w:t xml:space="preserve"> </w:t>
      </w:r>
      <w:r w:rsidR="00D60807" w:rsidRPr="00A07832">
        <w:rPr>
          <w:sz w:val="22"/>
          <w:szCs w:val="22"/>
          <w:lang w:val="en-US" w:eastAsia="fr-FR"/>
        </w:rPr>
        <w:t>w</w:t>
      </w:r>
      <w:r w:rsidR="00D60807">
        <w:rPr>
          <w:sz w:val="22"/>
          <w:szCs w:val="22"/>
          <w:lang w:val="en-US" w:eastAsia="fr-FR"/>
        </w:rPr>
        <w:t xml:space="preserve">hich becomes evident in the </w:t>
      </w:r>
      <w:r w:rsidR="00A91512">
        <w:rPr>
          <w:sz w:val="22"/>
          <w:szCs w:val="22"/>
          <w:lang w:val="en-US" w:eastAsia="fr-FR"/>
        </w:rPr>
        <w:t>sluggish formation of Pu(VI)-(</w:t>
      </w:r>
      <w:proofErr w:type="spellStart"/>
      <w:r w:rsidR="00A91512">
        <w:rPr>
          <w:sz w:val="22"/>
          <w:szCs w:val="22"/>
          <w:lang w:val="en-US" w:eastAsia="fr-FR"/>
        </w:rPr>
        <w:t>hydr</w:t>
      </w:r>
      <w:proofErr w:type="spellEnd"/>
      <w:r w:rsidR="00A91512">
        <w:rPr>
          <w:sz w:val="22"/>
          <w:szCs w:val="22"/>
          <w:lang w:val="en-US" w:eastAsia="fr-FR"/>
        </w:rPr>
        <w:t>)oxides</w:t>
      </w:r>
      <w:r w:rsidR="007B40B9">
        <w:rPr>
          <w:sz w:val="22"/>
          <w:szCs w:val="22"/>
          <w:lang w:val="en-US" w:eastAsia="fr-FR"/>
        </w:rPr>
        <w:t xml:space="preserve">. </w:t>
      </w:r>
      <w:r w:rsidR="00DF3D0B">
        <w:rPr>
          <w:sz w:val="22"/>
          <w:szCs w:val="22"/>
          <w:lang w:val="en-US" w:eastAsia="fr-FR"/>
        </w:rPr>
        <w:t>Th</w:t>
      </w:r>
      <w:r w:rsidR="00FF293E">
        <w:rPr>
          <w:sz w:val="22"/>
          <w:szCs w:val="22"/>
          <w:lang w:val="en-US" w:eastAsia="fr-FR"/>
        </w:rPr>
        <w:t xml:space="preserve">is challenge </w:t>
      </w:r>
      <w:r w:rsidR="00D63C14">
        <w:rPr>
          <w:sz w:val="22"/>
          <w:szCs w:val="22"/>
          <w:lang w:val="en-US" w:eastAsia="fr-FR"/>
        </w:rPr>
        <w:t xml:space="preserve">can explain why </w:t>
      </w:r>
      <w:r w:rsidR="00D60807">
        <w:rPr>
          <w:sz w:val="22"/>
          <w:szCs w:val="22"/>
          <w:lang w:val="en-US" w:eastAsia="fr-FR"/>
        </w:rPr>
        <w:t xml:space="preserve">little is </w:t>
      </w:r>
      <w:r w:rsidR="00B87AAC">
        <w:rPr>
          <w:sz w:val="22"/>
          <w:szCs w:val="22"/>
          <w:lang w:val="en-US" w:eastAsia="fr-FR"/>
        </w:rPr>
        <w:t xml:space="preserve">reported </w:t>
      </w:r>
      <w:r w:rsidR="00D60807">
        <w:rPr>
          <w:sz w:val="22"/>
          <w:szCs w:val="22"/>
          <w:lang w:val="en-US" w:eastAsia="fr-FR"/>
        </w:rPr>
        <w:t xml:space="preserve">about the </w:t>
      </w:r>
      <w:r w:rsidR="009E5974">
        <w:rPr>
          <w:sz w:val="22"/>
          <w:szCs w:val="22"/>
          <w:lang w:val="en-US" w:eastAsia="fr-FR"/>
        </w:rPr>
        <w:t xml:space="preserve">solubility </w:t>
      </w:r>
      <w:r w:rsidR="00D60807">
        <w:rPr>
          <w:sz w:val="22"/>
          <w:szCs w:val="22"/>
          <w:lang w:val="en-US" w:eastAsia="fr-FR"/>
        </w:rPr>
        <w:t xml:space="preserve">behavior of </w:t>
      </w:r>
      <w:r w:rsidR="00DF3D0B">
        <w:rPr>
          <w:sz w:val="22"/>
          <w:szCs w:val="22"/>
          <w:lang w:val="en-US" w:eastAsia="fr-FR"/>
        </w:rPr>
        <w:t>Pu(VI)</w:t>
      </w:r>
      <w:r w:rsidR="00D60807">
        <w:rPr>
          <w:sz w:val="22"/>
          <w:szCs w:val="22"/>
          <w:lang w:val="en-US" w:eastAsia="fr-FR"/>
        </w:rPr>
        <w:t>-(</w:t>
      </w:r>
      <w:proofErr w:type="spellStart"/>
      <w:r w:rsidR="00D60807">
        <w:rPr>
          <w:sz w:val="22"/>
          <w:szCs w:val="22"/>
          <w:lang w:val="en-US" w:eastAsia="fr-FR"/>
        </w:rPr>
        <w:t>hydr</w:t>
      </w:r>
      <w:proofErr w:type="spellEnd"/>
      <w:r w:rsidR="00D60807">
        <w:rPr>
          <w:sz w:val="22"/>
          <w:szCs w:val="22"/>
          <w:lang w:val="en-US" w:eastAsia="fr-FR"/>
        </w:rPr>
        <w:t>)oxides</w:t>
      </w:r>
      <w:r w:rsidR="00D63C14">
        <w:rPr>
          <w:sz w:val="22"/>
          <w:szCs w:val="22"/>
          <w:lang w:val="en-US" w:eastAsia="fr-FR"/>
        </w:rPr>
        <w:t xml:space="preserve">. </w:t>
      </w:r>
      <w:r w:rsidR="008D3384">
        <w:rPr>
          <w:sz w:val="22"/>
          <w:szCs w:val="22"/>
          <w:lang w:val="en-US" w:eastAsia="fr-FR"/>
        </w:rPr>
        <w:t xml:space="preserve">In this contribution we </w:t>
      </w:r>
      <w:r w:rsidR="00893710">
        <w:rPr>
          <w:sz w:val="22"/>
          <w:szCs w:val="22"/>
          <w:lang w:val="en-US" w:eastAsia="fr-FR"/>
        </w:rPr>
        <w:t>report</w:t>
      </w:r>
      <w:r w:rsidR="00D151FE">
        <w:rPr>
          <w:sz w:val="22"/>
          <w:szCs w:val="22"/>
          <w:lang w:val="en-US" w:eastAsia="fr-FR"/>
        </w:rPr>
        <w:t xml:space="preserve"> on the</w:t>
      </w:r>
      <w:r w:rsidR="00D60807">
        <w:rPr>
          <w:sz w:val="22"/>
          <w:szCs w:val="22"/>
          <w:lang w:val="en-US" w:eastAsia="fr-FR"/>
        </w:rPr>
        <w:t xml:space="preserve"> successful </w:t>
      </w:r>
      <w:r w:rsidR="00D151FE">
        <w:rPr>
          <w:sz w:val="22"/>
          <w:szCs w:val="22"/>
          <w:lang w:val="en-US" w:eastAsia="fr-FR"/>
        </w:rPr>
        <w:t>preparation</w:t>
      </w:r>
      <w:r w:rsidR="0068774D">
        <w:rPr>
          <w:sz w:val="22"/>
          <w:szCs w:val="22"/>
          <w:lang w:val="en-US" w:eastAsia="fr-FR"/>
        </w:rPr>
        <w:t>,</w:t>
      </w:r>
      <w:r w:rsidR="00D151FE">
        <w:rPr>
          <w:sz w:val="22"/>
          <w:szCs w:val="22"/>
          <w:lang w:val="en-US" w:eastAsia="fr-FR"/>
        </w:rPr>
        <w:t xml:space="preserve"> characterization </w:t>
      </w:r>
      <w:r w:rsidR="0068774D">
        <w:rPr>
          <w:sz w:val="22"/>
          <w:szCs w:val="22"/>
          <w:lang w:val="en-US" w:eastAsia="fr-FR"/>
        </w:rPr>
        <w:t xml:space="preserve">and solubility analysis </w:t>
      </w:r>
      <w:r w:rsidR="00D151FE">
        <w:rPr>
          <w:sz w:val="22"/>
          <w:szCs w:val="22"/>
          <w:lang w:val="en-US" w:eastAsia="fr-FR"/>
        </w:rPr>
        <w:t>of so</w:t>
      </w:r>
      <w:r w:rsidR="009B4E09">
        <w:rPr>
          <w:sz w:val="22"/>
          <w:szCs w:val="22"/>
          <w:lang w:val="en-US" w:eastAsia="fr-FR"/>
        </w:rPr>
        <w:t>me</w:t>
      </w:r>
      <w:r w:rsidR="00D151FE">
        <w:rPr>
          <w:sz w:val="22"/>
          <w:szCs w:val="22"/>
          <w:lang w:val="en-US" w:eastAsia="fr-FR"/>
        </w:rPr>
        <w:t xml:space="preserve"> Pu(VI)-(</w:t>
      </w:r>
      <w:proofErr w:type="spellStart"/>
      <w:r w:rsidR="00D151FE">
        <w:rPr>
          <w:sz w:val="22"/>
          <w:szCs w:val="22"/>
          <w:lang w:val="en-US" w:eastAsia="fr-FR"/>
        </w:rPr>
        <w:t>hydr</w:t>
      </w:r>
      <w:proofErr w:type="spellEnd"/>
      <w:r w:rsidR="00D151FE">
        <w:rPr>
          <w:sz w:val="22"/>
          <w:szCs w:val="22"/>
          <w:lang w:val="en-US" w:eastAsia="fr-FR"/>
        </w:rPr>
        <w:t xml:space="preserve">)oxide solid phases in alkaline </w:t>
      </w:r>
      <w:proofErr w:type="spellStart"/>
      <w:r w:rsidR="00D151FE">
        <w:rPr>
          <w:sz w:val="22"/>
          <w:szCs w:val="22"/>
          <w:lang w:val="en-US" w:eastAsia="fr-FR"/>
        </w:rPr>
        <w:t>NaCl</w:t>
      </w:r>
      <w:proofErr w:type="spellEnd"/>
      <w:r w:rsidR="00D151FE">
        <w:rPr>
          <w:sz w:val="22"/>
          <w:szCs w:val="22"/>
          <w:lang w:val="en-US" w:eastAsia="fr-FR"/>
        </w:rPr>
        <w:t xml:space="preserve"> and CaCl</w:t>
      </w:r>
      <w:r w:rsidR="00D151FE" w:rsidRPr="00D151FE">
        <w:rPr>
          <w:sz w:val="22"/>
          <w:szCs w:val="22"/>
          <w:vertAlign w:val="subscript"/>
          <w:lang w:val="en-US" w:eastAsia="fr-FR"/>
        </w:rPr>
        <w:t>2</w:t>
      </w:r>
      <w:r w:rsidR="00D151FE">
        <w:rPr>
          <w:sz w:val="22"/>
          <w:szCs w:val="22"/>
          <w:lang w:val="en-US" w:eastAsia="fr-FR"/>
        </w:rPr>
        <w:t xml:space="preserve"> solutions. </w:t>
      </w:r>
    </w:p>
    <w:p w14:paraId="4B6C43DF" w14:textId="77777777" w:rsidR="004E62D8" w:rsidRDefault="004E62D8" w:rsidP="00A4619E">
      <w:pPr>
        <w:jc w:val="both"/>
        <w:rPr>
          <w:sz w:val="22"/>
          <w:szCs w:val="22"/>
          <w:lang w:val="en-US" w:eastAsia="fr-FR"/>
        </w:rPr>
      </w:pPr>
    </w:p>
    <w:p w14:paraId="559AF972" w14:textId="501ACA74" w:rsidR="009F00CC" w:rsidRPr="009F00CC" w:rsidRDefault="009F00CC" w:rsidP="00A4619E">
      <w:pPr>
        <w:jc w:val="both"/>
        <w:rPr>
          <w:b/>
          <w:sz w:val="22"/>
          <w:szCs w:val="22"/>
          <w:lang w:val="en-US" w:eastAsia="fr-FR"/>
        </w:rPr>
      </w:pPr>
      <w:r w:rsidRPr="009F00CC">
        <w:rPr>
          <w:b/>
          <w:sz w:val="22"/>
          <w:szCs w:val="22"/>
          <w:lang w:val="en-US" w:eastAsia="fr-FR"/>
        </w:rPr>
        <w:t>DESCRIPTION OF THE WORK</w:t>
      </w:r>
    </w:p>
    <w:p w14:paraId="356072A4" w14:textId="77777777" w:rsidR="009F00CC" w:rsidRDefault="009F00CC" w:rsidP="00A4619E">
      <w:pPr>
        <w:jc w:val="both"/>
        <w:rPr>
          <w:sz w:val="22"/>
          <w:szCs w:val="22"/>
          <w:lang w:val="en-US" w:eastAsia="fr-FR"/>
        </w:rPr>
      </w:pPr>
    </w:p>
    <w:p w14:paraId="1374AC7D" w14:textId="77777777" w:rsidR="00B54239" w:rsidRPr="00B54239" w:rsidRDefault="00A4619E" w:rsidP="00B54239">
      <w:pPr>
        <w:jc w:val="both"/>
        <w:rPr>
          <w:sz w:val="22"/>
          <w:szCs w:val="22"/>
          <w:lang w:val="en-US" w:eastAsia="fr-FR"/>
        </w:rPr>
      </w:pPr>
      <w:r w:rsidRPr="00A4619E">
        <w:rPr>
          <w:sz w:val="22"/>
          <w:szCs w:val="22"/>
          <w:lang w:val="en-GB" w:eastAsia="fr-FR"/>
        </w:rPr>
        <w:t xml:space="preserve">All experiments were performed at room temperature under inert </w:t>
      </w:r>
      <w:proofErr w:type="spellStart"/>
      <w:r w:rsidRPr="00A4619E">
        <w:rPr>
          <w:sz w:val="22"/>
          <w:szCs w:val="22"/>
          <w:lang w:val="en-GB" w:eastAsia="fr-FR"/>
        </w:rPr>
        <w:t>Ar</w:t>
      </w:r>
      <w:proofErr w:type="spellEnd"/>
      <w:r w:rsidRPr="00A4619E">
        <w:rPr>
          <w:sz w:val="22"/>
          <w:szCs w:val="22"/>
          <w:lang w:val="en-GB" w:eastAsia="fr-FR"/>
        </w:rPr>
        <w:t xml:space="preserve"> atmosphere with </w:t>
      </w:r>
      <w:r w:rsidRPr="00A4619E">
        <w:rPr>
          <w:sz w:val="22"/>
          <w:szCs w:val="22"/>
          <w:vertAlign w:val="superscript"/>
          <w:lang w:val="en-GB" w:eastAsia="fr-FR"/>
        </w:rPr>
        <w:t>2</w:t>
      </w:r>
      <w:r w:rsidR="00361C83">
        <w:rPr>
          <w:sz w:val="22"/>
          <w:szCs w:val="22"/>
          <w:vertAlign w:val="superscript"/>
          <w:lang w:val="en-GB" w:eastAsia="fr-FR"/>
        </w:rPr>
        <w:t>42</w:t>
      </w:r>
      <w:r w:rsidR="00361C83">
        <w:rPr>
          <w:sz w:val="22"/>
          <w:szCs w:val="22"/>
          <w:lang w:val="en-GB" w:eastAsia="fr-FR"/>
        </w:rPr>
        <w:t>Pu</w:t>
      </w:r>
      <w:r w:rsidRPr="00A4619E">
        <w:rPr>
          <w:sz w:val="22"/>
          <w:szCs w:val="22"/>
          <w:lang w:val="en-GB" w:eastAsia="fr-FR"/>
        </w:rPr>
        <w:t xml:space="preserve">. </w:t>
      </w:r>
      <w:r w:rsidR="00B54239">
        <w:rPr>
          <w:sz w:val="22"/>
          <w:szCs w:val="22"/>
          <w:lang w:val="en-US" w:eastAsia="fr-FR"/>
        </w:rPr>
        <w:t xml:space="preserve">A freshly electrolyzed oxidation state pure </w:t>
      </w:r>
      <w:r w:rsidR="00B54239" w:rsidRPr="00B54239">
        <w:rPr>
          <w:sz w:val="22"/>
          <w:szCs w:val="22"/>
          <w:vertAlign w:val="superscript"/>
          <w:lang w:val="en-US" w:eastAsia="fr-FR"/>
        </w:rPr>
        <w:t>242</w:t>
      </w:r>
      <w:r w:rsidR="00B54239" w:rsidRPr="00B54239">
        <w:rPr>
          <w:sz w:val="22"/>
          <w:szCs w:val="22"/>
          <w:lang w:val="en-US" w:eastAsia="fr-FR"/>
        </w:rPr>
        <w:t>Pu</w:t>
      </w:r>
      <w:r w:rsidR="00B54239">
        <w:rPr>
          <w:sz w:val="22"/>
          <w:szCs w:val="22"/>
          <w:lang w:val="en-US" w:eastAsia="fr-FR"/>
        </w:rPr>
        <w:t>O</w:t>
      </w:r>
      <w:r w:rsidR="00B54239" w:rsidRPr="00B54239">
        <w:rPr>
          <w:sz w:val="22"/>
          <w:szCs w:val="22"/>
          <w:vertAlign w:val="subscript"/>
          <w:lang w:val="en-US" w:eastAsia="fr-FR"/>
        </w:rPr>
        <w:t>2</w:t>
      </w:r>
      <w:r w:rsidR="00B54239" w:rsidRPr="00B54239">
        <w:rPr>
          <w:sz w:val="22"/>
          <w:szCs w:val="22"/>
          <w:vertAlign w:val="superscript"/>
          <w:lang w:val="en-US" w:eastAsia="fr-FR"/>
        </w:rPr>
        <w:t>2+</w:t>
      </w:r>
      <w:r w:rsidR="00B54239">
        <w:rPr>
          <w:sz w:val="22"/>
          <w:szCs w:val="22"/>
          <w:lang w:val="en-US" w:eastAsia="fr-FR"/>
        </w:rPr>
        <w:t xml:space="preserve"> </w:t>
      </w:r>
      <w:r w:rsidR="00B54239" w:rsidRPr="00B54239">
        <w:rPr>
          <w:sz w:val="22"/>
          <w:szCs w:val="22"/>
          <w:lang w:val="en-US" w:eastAsia="fr-FR"/>
        </w:rPr>
        <w:t>stock solution was alkalinized with</w:t>
      </w:r>
      <w:r w:rsidR="00B54239">
        <w:rPr>
          <w:sz w:val="22"/>
          <w:szCs w:val="22"/>
          <w:lang w:val="en-US" w:eastAsia="fr-FR"/>
        </w:rPr>
        <w:t xml:space="preserve"> </w:t>
      </w:r>
      <w:proofErr w:type="spellStart"/>
      <w:r w:rsidR="00B54239" w:rsidRPr="00B54239">
        <w:rPr>
          <w:sz w:val="22"/>
          <w:szCs w:val="22"/>
          <w:lang w:val="en-US" w:eastAsia="fr-FR"/>
        </w:rPr>
        <w:t>NaOH</w:t>
      </w:r>
      <w:proofErr w:type="spellEnd"/>
      <w:r w:rsidR="00B54239">
        <w:rPr>
          <w:sz w:val="22"/>
          <w:szCs w:val="22"/>
          <w:lang w:val="en-US" w:eastAsia="fr-FR"/>
        </w:rPr>
        <w:t xml:space="preserve"> and with aqueous Ca(OH)</w:t>
      </w:r>
      <w:r w:rsidR="00B54239" w:rsidRPr="00B54239">
        <w:rPr>
          <w:sz w:val="22"/>
          <w:szCs w:val="22"/>
          <w:vertAlign w:val="subscript"/>
          <w:lang w:val="en-US" w:eastAsia="fr-FR"/>
        </w:rPr>
        <w:t>2</w:t>
      </w:r>
      <w:r w:rsidR="00B54239">
        <w:rPr>
          <w:sz w:val="22"/>
          <w:szCs w:val="22"/>
          <w:lang w:val="en-US" w:eastAsia="fr-FR"/>
        </w:rPr>
        <w:t xml:space="preserve"> suspension, respectively. M</w:t>
      </w:r>
      <w:r w:rsidR="00B54239" w:rsidRPr="00B54239">
        <w:rPr>
          <w:sz w:val="22"/>
          <w:szCs w:val="22"/>
          <w:lang w:val="en-US" w:eastAsia="fr-FR"/>
        </w:rPr>
        <w:t>ild temper</w:t>
      </w:r>
      <w:r w:rsidR="00B54239">
        <w:rPr>
          <w:sz w:val="22"/>
          <w:szCs w:val="22"/>
          <w:lang w:val="en-US" w:eastAsia="fr-FR"/>
        </w:rPr>
        <w:t>ing</w:t>
      </w:r>
      <w:r w:rsidR="00B54239" w:rsidRPr="00B54239">
        <w:rPr>
          <w:sz w:val="22"/>
          <w:szCs w:val="22"/>
          <w:lang w:val="en-US" w:eastAsia="fr-FR"/>
        </w:rPr>
        <w:t xml:space="preserve"> for several weeks</w:t>
      </w:r>
      <w:r w:rsidR="00B54239">
        <w:rPr>
          <w:sz w:val="22"/>
          <w:szCs w:val="22"/>
          <w:lang w:val="en-US" w:eastAsia="fr-FR"/>
        </w:rPr>
        <w:t xml:space="preserve"> resulted in the formation of blackish (Na) and yellow-brownish (Ca) crystalline precipitates. </w:t>
      </w:r>
      <w:r w:rsidR="00DF41F8">
        <w:rPr>
          <w:sz w:val="22"/>
          <w:szCs w:val="22"/>
          <w:lang w:val="en-US" w:eastAsia="fr-FR"/>
        </w:rPr>
        <w:t xml:space="preserve">The latter were </w:t>
      </w:r>
      <w:r w:rsidR="008E3453">
        <w:rPr>
          <w:sz w:val="22"/>
          <w:szCs w:val="22"/>
          <w:lang w:val="en-US" w:eastAsia="fr-FR"/>
        </w:rPr>
        <w:t>investigated</w:t>
      </w:r>
      <w:r w:rsidR="00DF41F8">
        <w:rPr>
          <w:sz w:val="22"/>
          <w:szCs w:val="22"/>
          <w:lang w:val="en-US" w:eastAsia="fr-FR"/>
        </w:rPr>
        <w:t xml:space="preserve"> by </w:t>
      </w:r>
      <w:r w:rsidR="00B54239">
        <w:rPr>
          <w:sz w:val="22"/>
          <w:szCs w:val="22"/>
          <w:lang w:val="en-US" w:eastAsia="fr-FR"/>
        </w:rPr>
        <w:t>powder XRD, SEM-EDX, chemical analysis by combined LSC+OES, Raman,</w:t>
      </w:r>
      <w:r w:rsidR="00DF41F8">
        <w:rPr>
          <w:sz w:val="22"/>
          <w:szCs w:val="22"/>
          <w:lang w:val="en-US" w:eastAsia="fr-FR"/>
        </w:rPr>
        <w:t xml:space="preserve"> </w:t>
      </w:r>
      <w:r w:rsidR="0068774D">
        <w:rPr>
          <w:sz w:val="22"/>
          <w:szCs w:val="22"/>
          <w:lang w:val="en-US" w:eastAsia="fr-FR"/>
        </w:rPr>
        <w:t>thermogravimetric analysis</w:t>
      </w:r>
      <w:r w:rsidR="00DE5DA2">
        <w:rPr>
          <w:sz w:val="22"/>
          <w:szCs w:val="22"/>
          <w:lang w:val="en-US" w:eastAsia="fr-FR"/>
        </w:rPr>
        <w:t xml:space="preserve">, </w:t>
      </w:r>
      <w:r w:rsidR="00DF41F8">
        <w:rPr>
          <w:sz w:val="22"/>
          <w:szCs w:val="22"/>
          <w:lang w:val="en-US" w:eastAsia="fr-FR"/>
        </w:rPr>
        <w:t xml:space="preserve">and </w:t>
      </w:r>
      <w:r w:rsidR="00B54239">
        <w:rPr>
          <w:sz w:val="22"/>
          <w:szCs w:val="22"/>
          <w:lang w:val="en-US" w:eastAsia="fr-FR"/>
        </w:rPr>
        <w:t>XAFS</w:t>
      </w:r>
      <w:r w:rsidR="00DF41F8">
        <w:rPr>
          <w:sz w:val="22"/>
          <w:szCs w:val="22"/>
          <w:lang w:val="en-US" w:eastAsia="fr-FR"/>
        </w:rPr>
        <w:t xml:space="preserve"> at the </w:t>
      </w:r>
      <w:r w:rsidR="00DF41F8" w:rsidRPr="00DF41F8">
        <w:rPr>
          <w:i/>
          <w:sz w:val="22"/>
          <w:szCs w:val="22"/>
          <w:lang w:val="en-US" w:eastAsia="fr-FR"/>
        </w:rPr>
        <w:t>Karlsruhe</w:t>
      </w:r>
      <w:r w:rsidR="00DF41F8" w:rsidRPr="00DF41F8">
        <w:rPr>
          <w:i/>
          <w:lang w:val="en-US"/>
        </w:rPr>
        <w:t xml:space="preserve"> Research Accelerator</w:t>
      </w:r>
      <w:r w:rsidR="00DF41F8">
        <w:rPr>
          <w:lang w:val="en-US"/>
        </w:rPr>
        <w:t xml:space="preserve"> (KARA)</w:t>
      </w:r>
      <w:r w:rsidR="00DF41F8">
        <w:rPr>
          <w:sz w:val="22"/>
          <w:szCs w:val="22"/>
          <w:lang w:val="en-US" w:eastAsia="fr-FR"/>
        </w:rPr>
        <w:t xml:space="preserve">. </w:t>
      </w:r>
      <w:r w:rsidR="008E2B46">
        <w:rPr>
          <w:sz w:val="22"/>
          <w:szCs w:val="22"/>
          <w:lang w:val="en-US" w:eastAsia="fr-FR"/>
        </w:rPr>
        <w:t>T</w:t>
      </w:r>
      <w:r w:rsidR="00B54239">
        <w:rPr>
          <w:sz w:val="22"/>
          <w:szCs w:val="22"/>
          <w:lang w:val="en-US" w:eastAsia="fr-FR"/>
        </w:rPr>
        <w:t>he solubility behavior w</w:t>
      </w:r>
      <w:r w:rsidR="008E2B46">
        <w:rPr>
          <w:sz w:val="22"/>
          <w:szCs w:val="22"/>
          <w:lang w:val="en-US" w:eastAsia="fr-FR"/>
        </w:rPr>
        <w:t xml:space="preserve">ere studied in 0.5-5.0 M </w:t>
      </w:r>
      <w:proofErr w:type="spellStart"/>
      <w:r w:rsidR="008E2B46">
        <w:rPr>
          <w:sz w:val="22"/>
          <w:szCs w:val="22"/>
          <w:lang w:val="en-US" w:eastAsia="fr-FR"/>
        </w:rPr>
        <w:t>NaCl</w:t>
      </w:r>
      <w:proofErr w:type="spellEnd"/>
      <w:r w:rsidR="008E2B46">
        <w:rPr>
          <w:sz w:val="22"/>
          <w:szCs w:val="22"/>
          <w:lang w:val="en-US" w:eastAsia="fr-FR"/>
        </w:rPr>
        <w:t xml:space="preserve"> solutions with </w:t>
      </w:r>
      <w:proofErr w:type="spellStart"/>
      <w:r w:rsidR="008E2B46">
        <w:rPr>
          <w:sz w:val="22"/>
          <w:szCs w:val="22"/>
          <w:lang w:val="en-US" w:eastAsia="fr-FR"/>
        </w:rPr>
        <w:t>pH</w:t>
      </w:r>
      <w:r w:rsidR="008E2B46" w:rsidRPr="008E2B46">
        <w:rPr>
          <w:sz w:val="22"/>
          <w:szCs w:val="22"/>
          <w:vertAlign w:val="subscript"/>
          <w:lang w:val="en-US" w:eastAsia="fr-FR"/>
        </w:rPr>
        <w:t>m</w:t>
      </w:r>
      <w:proofErr w:type="spellEnd"/>
      <w:r w:rsidR="008E2B46">
        <w:rPr>
          <w:sz w:val="22"/>
          <w:szCs w:val="22"/>
          <w:lang w:val="en-US" w:eastAsia="fr-FR"/>
        </w:rPr>
        <w:t> = 9-14 (blackish solid) and 0.25-2.0 M CaCl</w:t>
      </w:r>
      <w:r w:rsidR="008E2B46" w:rsidRPr="008E2B46">
        <w:rPr>
          <w:sz w:val="22"/>
          <w:szCs w:val="22"/>
          <w:vertAlign w:val="subscript"/>
          <w:lang w:val="en-US" w:eastAsia="fr-FR"/>
        </w:rPr>
        <w:t>2</w:t>
      </w:r>
      <w:r w:rsidR="008E2B46">
        <w:rPr>
          <w:sz w:val="22"/>
          <w:szCs w:val="22"/>
          <w:lang w:val="en-US" w:eastAsia="fr-FR"/>
        </w:rPr>
        <w:t xml:space="preserve"> solutions with </w:t>
      </w:r>
      <w:proofErr w:type="spellStart"/>
      <w:r w:rsidR="008E2B46">
        <w:rPr>
          <w:sz w:val="22"/>
          <w:szCs w:val="22"/>
          <w:lang w:val="en-US" w:eastAsia="fr-FR"/>
        </w:rPr>
        <w:t>pH</w:t>
      </w:r>
      <w:r w:rsidR="008E2B46" w:rsidRPr="008E2B46">
        <w:rPr>
          <w:sz w:val="22"/>
          <w:szCs w:val="22"/>
          <w:vertAlign w:val="subscript"/>
          <w:lang w:val="en-US" w:eastAsia="fr-FR"/>
        </w:rPr>
        <w:t>m</w:t>
      </w:r>
      <w:proofErr w:type="spellEnd"/>
      <w:r w:rsidR="008E2B46">
        <w:rPr>
          <w:sz w:val="22"/>
          <w:szCs w:val="22"/>
          <w:lang w:val="en-US" w:eastAsia="fr-FR"/>
        </w:rPr>
        <w:t xml:space="preserve"> = 9-12 (yellow-brownish solid phase) from </w:t>
      </w:r>
      <w:proofErr w:type="spellStart"/>
      <w:r w:rsidR="008E2B46">
        <w:rPr>
          <w:sz w:val="22"/>
          <w:szCs w:val="22"/>
          <w:lang w:val="en-US" w:eastAsia="fr-FR"/>
        </w:rPr>
        <w:t>undersaturation</w:t>
      </w:r>
      <w:proofErr w:type="spellEnd"/>
      <w:r w:rsidR="00BA797F">
        <w:rPr>
          <w:sz w:val="22"/>
          <w:szCs w:val="22"/>
          <w:lang w:val="en-US" w:eastAsia="fr-FR"/>
        </w:rPr>
        <w:t xml:space="preserve"> using hypochlorite as oxidizing agent. Several samplings of </w:t>
      </w:r>
      <w:proofErr w:type="spellStart"/>
      <w:r w:rsidR="00BA797F">
        <w:rPr>
          <w:sz w:val="22"/>
          <w:szCs w:val="22"/>
          <w:lang w:val="en-US" w:eastAsia="fr-FR"/>
        </w:rPr>
        <w:t>pH</w:t>
      </w:r>
      <w:r w:rsidR="00BA797F" w:rsidRPr="00BA797F">
        <w:rPr>
          <w:sz w:val="22"/>
          <w:szCs w:val="22"/>
          <w:vertAlign w:val="subscript"/>
          <w:lang w:val="en-US" w:eastAsia="fr-FR"/>
        </w:rPr>
        <w:t>m</w:t>
      </w:r>
      <w:proofErr w:type="spellEnd"/>
      <w:r w:rsidR="00BA797F">
        <w:rPr>
          <w:sz w:val="22"/>
          <w:szCs w:val="22"/>
          <w:lang w:val="en-US" w:eastAsia="fr-FR"/>
        </w:rPr>
        <w:t> = −log [H</w:t>
      </w:r>
      <w:r w:rsidR="00BA797F" w:rsidRPr="00BA797F">
        <w:rPr>
          <w:sz w:val="22"/>
          <w:szCs w:val="22"/>
          <w:vertAlign w:val="superscript"/>
          <w:lang w:val="en-US" w:eastAsia="fr-FR"/>
        </w:rPr>
        <w:t>+</w:t>
      </w:r>
      <w:r w:rsidR="00BA797F">
        <w:rPr>
          <w:sz w:val="22"/>
          <w:szCs w:val="22"/>
          <w:lang w:val="en-US" w:eastAsia="fr-FR"/>
        </w:rPr>
        <w:t>]</w:t>
      </w:r>
      <w:r w:rsidR="00BA797F" w:rsidRPr="00BA797F">
        <w:rPr>
          <w:sz w:val="22"/>
          <w:szCs w:val="22"/>
          <w:vertAlign w:val="subscript"/>
          <w:lang w:val="en-US" w:eastAsia="fr-FR"/>
        </w:rPr>
        <w:t>m</w:t>
      </w:r>
      <w:r w:rsidR="00BA797F">
        <w:rPr>
          <w:sz w:val="22"/>
          <w:szCs w:val="22"/>
          <w:lang w:val="en-US" w:eastAsia="fr-FR"/>
        </w:rPr>
        <w:t xml:space="preserve"> (glass combination electrode),</w:t>
      </w:r>
      <w:r w:rsidR="00DE5DA2">
        <w:rPr>
          <w:sz w:val="22"/>
          <w:szCs w:val="22"/>
          <w:lang w:val="en-US" w:eastAsia="fr-FR"/>
        </w:rPr>
        <w:t xml:space="preserve"> </w:t>
      </w:r>
      <w:r w:rsidR="00BA797F">
        <w:rPr>
          <w:sz w:val="22"/>
          <w:szCs w:val="22"/>
          <w:lang w:val="en-US" w:eastAsia="fr-FR"/>
        </w:rPr>
        <w:t>[Pu]</w:t>
      </w:r>
      <w:r w:rsidR="00BA797F" w:rsidRPr="00BA797F">
        <w:rPr>
          <w:sz w:val="22"/>
          <w:szCs w:val="22"/>
          <w:vertAlign w:val="subscript"/>
          <w:lang w:val="en-US" w:eastAsia="fr-FR"/>
        </w:rPr>
        <w:t>tot</w:t>
      </w:r>
      <w:r w:rsidR="00BA797F">
        <w:rPr>
          <w:sz w:val="22"/>
          <w:szCs w:val="22"/>
          <w:lang w:val="en-US" w:eastAsia="fr-FR"/>
        </w:rPr>
        <w:t xml:space="preserve"> (LSC) and [Pu(VI)] (liquid extraction) were performed as a function of time. </w:t>
      </w:r>
      <w:r w:rsidR="00B54239" w:rsidRPr="00B54239">
        <w:rPr>
          <w:sz w:val="22"/>
          <w:szCs w:val="22"/>
          <w:lang w:val="en-US" w:eastAsia="fr-FR"/>
        </w:rPr>
        <w:t>Additional spectroscopic (Vis/NIR, EXAFS) investigations of the aqueous Pu(VI) speciation were performed.</w:t>
      </w:r>
    </w:p>
    <w:p w14:paraId="7E09EF27" w14:textId="77777777" w:rsidR="00B54239" w:rsidRDefault="00B54239" w:rsidP="00A4619E">
      <w:pPr>
        <w:jc w:val="both"/>
        <w:rPr>
          <w:sz w:val="22"/>
          <w:szCs w:val="22"/>
          <w:lang w:val="en-US" w:eastAsia="fr-FR"/>
        </w:rPr>
      </w:pPr>
    </w:p>
    <w:p w14:paraId="2ED5ABEB" w14:textId="359DD59D" w:rsidR="009F00CC" w:rsidRPr="009F00CC" w:rsidRDefault="009F00CC" w:rsidP="00A4619E">
      <w:pPr>
        <w:jc w:val="both"/>
        <w:rPr>
          <w:b/>
          <w:sz w:val="22"/>
          <w:szCs w:val="22"/>
          <w:lang w:val="en-US" w:eastAsia="fr-FR"/>
        </w:rPr>
      </w:pPr>
      <w:r w:rsidRPr="009F00CC">
        <w:rPr>
          <w:b/>
          <w:sz w:val="22"/>
          <w:szCs w:val="22"/>
          <w:lang w:val="en-US" w:eastAsia="fr-FR"/>
        </w:rPr>
        <w:t>RESULTS AND DISCUSSION</w:t>
      </w:r>
    </w:p>
    <w:p w14:paraId="56311FCD" w14:textId="77777777" w:rsidR="009F00CC" w:rsidRPr="00B54239" w:rsidRDefault="009F00CC" w:rsidP="00A4619E">
      <w:pPr>
        <w:jc w:val="both"/>
        <w:rPr>
          <w:sz w:val="22"/>
          <w:szCs w:val="22"/>
          <w:lang w:val="en-US" w:eastAsia="fr-FR"/>
        </w:rPr>
      </w:pPr>
    </w:p>
    <w:p w14:paraId="5E28B0C3" w14:textId="08FE3D86" w:rsidR="00D37EE7" w:rsidRDefault="008E3453" w:rsidP="00D37EE7">
      <w:pPr>
        <w:jc w:val="both"/>
        <w:rPr>
          <w:sz w:val="22"/>
          <w:szCs w:val="22"/>
          <w:lang w:val="en-GB" w:eastAsia="fr-FR"/>
        </w:rPr>
      </w:pPr>
      <w:r>
        <w:rPr>
          <w:sz w:val="22"/>
          <w:szCs w:val="22"/>
          <w:lang w:val="en-US" w:eastAsia="fr-FR"/>
        </w:rPr>
        <w:t>The results of the solid phase characterization shows that t</w:t>
      </w:r>
      <w:r w:rsidR="00B27B99" w:rsidRPr="00B27B99">
        <w:rPr>
          <w:sz w:val="22"/>
          <w:szCs w:val="22"/>
          <w:lang w:val="en-US" w:eastAsia="fr-FR"/>
        </w:rPr>
        <w:t>he b</w:t>
      </w:r>
      <w:r w:rsidR="00B27B99">
        <w:rPr>
          <w:sz w:val="22"/>
          <w:szCs w:val="22"/>
          <w:lang w:val="en-US" w:eastAsia="fr-FR"/>
        </w:rPr>
        <w:t xml:space="preserve">lackish </w:t>
      </w:r>
      <w:r>
        <w:rPr>
          <w:sz w:val="22"/>
          <w:szCs w:val="22"/>
          <w:lang w:val="en-US" w:eastAsia="fr-FR"/>
        </w:rPr>
        <w:t xml:space="preserve">material </w:t>
      </w:r>
      <w:r w:rsidR="00B27B99">
        <w:rPr>
          <w:sz w:val="22"/>
          <w:szCs w:val="22"/>
          <w:lang w:val="en-US" w:eastAsia="fr-FR"/>
        </w:rPr>
        <w:t xml:space="preserve">precipitated in </w:t>
      </w:r>
      <w:proofErr w:type="spellStart"/>
      <w:r w:rsidR="00B27B99">
        <w:rPr>
          <w:sz w:val="22"/>
          <w:szCs w:val="22"/>
          <w:lang w:val="en-US" w:eastAsia="fr-FR"/>
        </w:rPr>
        <w:t>NaOH</w:t>
      </w:r>
      <w:proofErr w:type="spellEnd"/>
      <w:r w:rsidR="00B27B99">
        <w:rPr>
          <w:sz w:val="22"/>
          <w:szCs w:val="22"/>
          <w:lang w:val="en-US" w:eastAsia="fr-FR"/>
        </w:rPr>
        <w:t xml:space="preserve"> </w:t>
      </w:r>
      <w:r w:rsidR="00B27B99" w:rsidRPr="003264FF">
        <w:rPr>
          <w:sz w:val="22"/>
          <w:szCs w:val="22"/>
          <w:lang w:val="en-US" w:eastAsia="fr-FR"/>
        </w:rPr>
        <w:t xml:space="preserve">solution </w:t>
      </w:r>
      <w:r w:rsidR="00335F41" w:rsidRPr="003264FF">
        <w:rPr>
          <w:sz w:val="22"/>
          <w:szCs w:val="22"/>
          <w:lang w:val="en-US" w:eastAsia="fr-FR"/>
        </w:rPr>
        <w:t xml:space="preserve">is a </w:t>
      </w:r>
      <w:proofErr w:type="spellStart"/>
      <w:r w:rsidR="00335F41" w:rsidRPr="003264FF">
        <w:rPr>
          <w:sz w:val="22"/>
          <w:szCs w:val="22"/>
          <w:lang w:val="en-US" w:eastAsia="fr-FR"/>
        </w:rPr>
        <w:t>plutonate</w:t>
      </w:r>
      <w:proofErr w:type="spellEnd"/>
      <w:r w:rsidR="00335F41" w:rsidRPr="003264FF">
        <w:rPr>
          <w:sz w:val="22"/>
          <w:szCs w:val="22"/>
          <w:lang w:val="en-US" w:eastAsia="fr-FR"/>
        </w:rPr>
        <w:t xml:space="preserve">(VI) compound and </w:t>
      </w:r>
      <w:r w:rsidR="00B27B99" w:rsidRPr="003264FF">
        <w:rPr>
          <w:sz w:val="22"/>
          <w:szCs w:val="22"/>
          <w:lang w:val="en-US" w:eastAsia="fr-FR"/>
        </w:rPr>
        <w:t>cons</w:t>
      </w:r>
      <w:r w:rsidR="00B27B99" w:rsidRPr="00B27B99">
        <w:rPr>
          <w:sz w:val="22"/>
          <w:szCs w:val="22"/>
          <w:lang w:val="en-US" w:eastAsia="fr-FR"/>
        </w:rPr>
        <w:t xml:space="preserve">ists of </w:t>
      </w:r>
      <w:r w:rsidR="00B27B99">
        <w:rPr>
          <w:sz w:val="22"/>
          <w:szCs w:val="22"/>
          <w:lang w:val="en-US" w:eastAsia="fr-FR"/>
        </w:rPr>
        <w:t xml:space="preserve">hexagonal </w:t>
      </w:r>
      <w:r w:rsidR="00B27B99" w:rsidRPr="00B27B99">
        <w:rPr>
          <w:sz w:val="22"/>
          <w:szCs w:val="22"/>
          <w:lang w:val="en-US" w:eastAsia="fr-FR"/>
        </w:rPr>
        <w:t>platelets (SEM)</w:t>
      </w:r>
      <w:r w:rsidR="00322E6B">
        <w:rPr>
          <w:sz w:val="22"/>
          <w:szCs w:val="22"/>
          <w:lang w:val="en-US" w:eastAsia="fr-FR"/>
        </w:rPr>
        <w:t xml:space="preserve">. </w:t>
      </w:r>
      <w:r>
        <w:rPr>
          <w:sz w:val="22"/>
          <w:szCs w:val="22"/>
          <w:lang w:val="en-US" w:eastAsia="fr-FR"/>
        </w:rPr>
        <w:t xml:space="preserve">Chemical analysis by </w:t>
      </w:r>
      <w:r w:rsidR="00322E6B">
        <w:rPr>
          <w:sz w:val="22"/>
          <w:szCs w:val="22"/>
          <w:lang w:val="en-US" w:eastAsia="fr-FR"/>
        </w:rPr>
        <w:t xml:space="preserve">EDX and </w:t>
      </w:r>
      <w:r>
        <w:rPr>
          <w:sz w:val="22"/>
          <w:szCs w:val="22"/>
          <w:lang w:val="en-US" w:eastAsia="fr-FR"/>
        </w:rPr>
        <w:t xml:space="preserve">by </w:t>
      </w:r>
      <w:r w:rsidR="00322E6B">
        <w:rPr>
          <w:sz w:val="22"/>
          <w:szCs w:val="22"/>
          <w:lang w:val="en-US" w:eastAsia="fr-FR"/>
        </w:rPr>
        <w:t xml:space="preserve">LSC+OES </w:t>
      </w:r>
      <w:r>
        <w:rPr>
          <w:sz w:val="22"/>
          <w:szCs w:val="22"/>
          <w:lang w:val="en-US" w:eastAsia="fr-FR"/>
        </w:rPr>
        <w:t>revealed</w:t>
      </w:r>
      <w:r w:rsidR="00322E6B">
        <w:rPr>
          <w:sz w:val="22"/>
          <w:szCs w:val="22"/>
          <w:lang w:val="en-US" w:eastAsia="fr-FR"/>
        </w:rPr>
        <w:t xml:space="preserve"> </w:t>
      </w:r>
      <w:r>
        <w:rPr>
          <w:sz w:val="22"/>
          <w:szCs w:val="22"/>
          <w:lang w:val="en-US" w:eastAsia="fr-FR"/>
        </w:rPr>
        <w:t xml:space="preserve">an equimolar content of </w:t>
      </w:r>
      <w:r w:rsidR="00322E6B">
        <w:rPr>
          <w:sz w:val="22"/>
          <w:szCs w:val="22"/>
          <w:lang w:val="en-US" w:eastAsia="fr-FR"/>
        </w:rPr>
        <w:t>Na and Pu in the solid (</w:t>
      </w:r>
      <w:r w:rsidR="00B27B99">
        <w:rPr>
          <w:sz w:val="22"/>
          <w:szCs w:val="22"/>
          <w:lang w:val="en-US" w:eastAsia="fr-FR"/>
        </w:rPr>
        <w:t xml:space="preserve">Na : Pu </w:t>
      </w:r>
      <w:r w:rsidR="00322E6B" w:rsidRPr="00B27B99">
        <w:rPr>
          <w:sz w:val="22"/>
          <w:szCs w:val="22"/>
          <w:lang w:val="en-US" w:eastAsia="fr-FR"/>
        </w:rPr>
        <w:t>≈1:1</w:t>
      </w:r>
      <w:r w:rsidR="00322E6B">
        <w:rPr>
          <w:sz w:val="22"/>
          <w:szCs w:val="22"/>
          <w:lang w:val="en-US" w:eastAsia="fr-FR"/>
        </w:rPr>
        <w:t xml:space="preserve">). </w:t>
      </w:r>
      <w:r>
        <w:rPr>
          <w:sz w:val="22"/>
          <w:szCs w:val="22"/>
          <w:lang w:val="en-US" w:eastAsia="fr-FR"/>
        </w:rPr>
        <w:t xml:space="preserve">The compound </w:t>
      </w:r>
      <w:r w:rsidR="00D8593A">
        <w:rPr>
          <w:sz w:val="22"/>
          <w:szCs w:val="22"/>
          <w:lang w:val="en-US" w:eastAsia="fr-FR"/>
        </w:rPr>
        <w:t xml:space="preserve">is isostructural to </w:t>
      </w:r>
      <w:r w:rsidR="00D8593A" w:rsidRPr="00B27B99">
        <w:rPr>
          <w:sz w:val="22"/>
          <w:szCs w:val="22"/>
          <w:lang w:val="en-US" w:eastAsia="fr-FR"/>
        </w:rPr>
        <w:t>Na</w:t>
      </w:r>
      <w:r w:rsidR="00D8593A" w:rsidRPr="00B27B99">
        <w:rPr>
          <w:sz w:val="22"/>
          <w:szCs w:val="22"/>
          <w:vertAlign w:val="subscript"/>
          <w:lang w:val="en-US" w:eastAsia="fr-FR"/>
        </w:rPr>
        <w:t>2</w:t>
      </w:r>
      <w:r w:rsidR="00D8593A" w:rsidRPr="00B27B99">
        <w:rPr>
          <w:sz w:val="22"/>
          <w:szCs w:val="22"/>
          <w:lang w:val="en-US" w:eastAsia="fr-FR"/>
        </w:rPr>
        <w:t>An</w:t>
      </w:r>
      <w:r w:rsidR="00D8593A" w:rsidRPr="00B27B99">
        <w:rPr>
          <w:sz w:val="22"/>
          <w:szCs w:val="22"/>
          <w:vertAlign w:val="subscript"/>
          <w:lang w:val="en-US" w:eastAsia="fr-FR"/>
        </w:rPr>
        <w:t>2</w:t>
      </w:r>
      <w:r w:rsidR="00D8593A" w:rsidRPr="00B27B99">
        <w:rPr>
          <w:sz w:val="22"/>
          <w:szCs w:val="22"/>
          <w:lang w:val="en-US" w:eastAsia="fr-FR"/>
        </w:rPr>
        <w:t>O</w:t>
      </w:r>
      <w:r w:rsidR="00D8593A" w:rsidRPr="00B27B99">
        <w:rPr>
          <w:sz w:val="22"/>
          <w:szCs w:val="22"/>
          <w:vertAlign w:val="subscript"/>
          <w:lang w:val="en-US" w:eastAsia="fr-FR"/>
        </w:rPr>
        <w:t>7</w:t>
      </w:r>
      <w:r w:rsidR="00D8593A" w:rsidRPr="00B27B99">
        <w:rPr>
          <w:sz w:val="22"/>
          <w:szCs w:val="22"/>
          <w:lang w:val="en-US" w:eastAsia="fr-FR"/>
        </w:rPr>
        <w:sym w:font="Symbol" w:char="F0D7"/>
      </w:r>
      <w:r w:rsidR="00D8593A" w:rsidRPr="00B27B99">
        <w:rPr>
          <w:i/>
          <w:sz w:val="22"/>
          <w:szCs w:val="22"/>
          <w:lang w:val="en-US" w:eastAsia="fr-FR"/>
        </w:rPr>
        <w:t>x</w:t>
      </w:r>
      <w:r w:rsidR="00D8593A" w:rsidRPr="00B27B99">
        <w:rPr>
          <w:sz w:val="22"/>
          <w:szCs w:val="22"/>
          <w:lang w:val="en-US" w:eastAsia="fr-FR"/>
        </w:rPr>
        <w:t>H</w:t>
      </w:r>
      <w:r w:rsidR="00D8593A" w:rsidRPr="00B27B99">
        <w:rPr>
          <w:sz w:val="22"/>
          <w:szCs w:val="22"/>
          <w:vertAlign w:val="subscript"/>
          <w:lang w:val="en-US" w:eastAsia="fr-FR"/>
        </w:rPr>
        <w:t>2</w:t>
      </w:r>
      <w:r w:rsidR="00D8593A" w:rsidRPr="00B27B99">
        <w:rPr>
          <w:sz w:val="22"/>
          <w:szCs w:val="22"/>
          <w:lang w:val="en-US" w:eastAsia="fr-FR"/>
        </w:rPr>
        <w:t>O(</w:t>
      </w:r>
      <w:proofErr w:type="spellStart"/>
      <w:r w:rsidR="00D8593A" w:rsidRPr="00B27B99">
        <w:rPr>
          <w:sz w:val="22"/>
          <w:szCs w:val="22"/>
          <w:lang w:val="en-US" w:eastAsia="fr-FR"/>
        </w:rPr>
        <w:t>cr</w:t>
      </w:r>
      <w:proofErr w:type="spellEnd"/>
      <w:r w:rsidR="00D8593A" w:rsidRPr="00B27B99">
        <w:rPr>
          <w:sz w:val="22"/>
          <w:szCs w:val="22"/>
          <w:lang w:val="en-US" w:eastAsia="fr-FR"/>
        </w:rPr>
        <w:t>) with An =</w:t>
      </w:r>
      <w:r w:rsidR="00D8593A" w:rsidRPr="00A07832">
        <w:rPr>
          <w:sz w:val="22"/>
          <w:szCs w:val="22"/>
          <w:lang w:val="en-US" w:eastAsia="fr-FR"/>
        </w:rPr>
        <w:t xml:space="preserve"> U [1] and Np [2] </w:t>
      </w:r>
      <w:r w:rsidRPr="00A07832">
        <w:rPr>
          <w:sz w:val="22"/>
          <w:szCs w:val="22"/>
          <w:lang w:val="en-US" w:eastAsia="fr-FR"/>
        </w:rPr>
        <w:t>as</w:t>
      </w:r>
      <w:r>
        <w:rPr>
          <w:sz w:val="22"/>
          <w:szCs w:val="22"/>
          <w:lang w:val="en-US" w:eastAsia="fr-FR"/>
        </w:rPr>
        <w:t xml:space="preserve"> confirmed by</w:t>
      </w:r>
      <w:r w:rsidR="00D8593A">
        <w:rPr>
          <w:sz w:val="22"/>
          <w:szCs w:val="22"/>
          <w:lang w:val="en-US" w:eastAsia="fr-FR"/>
        </w:rPr>
        <w:t xml:space="preserve"> </w:t>
      </w:r>
      <w:r w:rsidR="00B27B99" w:rsidRPr="00B27B99">
        <w:rPr>
          <w:sz w:val="22"/>
          <w:szCs w:val="22"/>
          <w:lang w:val="en-US" w:eastAsia="fr-FR"/>
        </w:rPr>
        <w:t>powder XRD</w:t>
      </w:r>
      <w:r w:rsidR="00D8593A">
        <w:rPr>
          <w:sz w:val="22"/>
          <w:szCs w:val="22"/>
          <w:lang w:val="en-US" w:eastAsia="fr-FR"/>
        </w:rPr>
        <w:t xml:space="preserve">. </w:t>
      </w:r>
      <w:r w:rsidR="00322E6B">
        <w:rPr>
          <w:sz w:val="22"/>
          <w:szCs w:val="22"/>
          <w:lang w:val="en-US" w:eastAsia="fr-FR"/>
        </w:rPr>
        <w:t>T</w:t>
      </w:r>
      <w:r w:rsidR="00B27B99" w:rsidRPr="00B27B99">
        <w:rPr>
          <w:sz w:val="22"/>
          <w:szCs w:val="22"/>
          <w:lang w:val="en-US" w:eastAsia="fr-FR"/>
        </w:rPr>
        <w:t xml:space="preserve">he </w:t>
      </w:r>
      <w:r w:rsidR="00322E6B">
        <w:rPr>
          <w:sz w:val="22"/>
          <w:szCs w:val="22"/>
          <w:lang w:val="en-US" w:eastAsia="fr-FR"/>
        </w:rPr>
        <w:t xml:space="preserve">blackish </w:t>
      </w:r>
      <w:r w:rsidR="00B27B99" w:rsidRPr="00B27B99">
        <w:rPr>
          <w:sz w:val="22"/>
          <w:szCs w:val="22"/>
          <w:lang w:val="en-US" w:eastAsia="fr-FR"/>
        </w:rPr>
        <w:t xml:space="preserve">solid phase can </w:t>
      </w:r>
      <w:r w:rsidR="00322E6B">
        <w:rPr>
          <w:sz w:val="22"/>
          <w:szCs w:val="22"/>
          <w:lang w:val="en-US" w:eastAsia="fr-FR"/>
        </w:rPr>
        <w:t xml:space="preserve">therefore </w:t>
      </w:r>
      <w:r w:rsidR="00B27B99" w:rsidRPr="00B27B99">
        <w:rPr>
          <w:sz w:val="22"/>
          <w:szCs w:val="22"/>
          <w:lang w:val="en-US" w:eastAsia="fr-FR"/>
        </w:rPr>
        <w:t>be identified as Na</w:t>
      </w:r>
      <w:r w:rsidR="00B27B99" w:rsidRPr="00B27B99">
        <w:rPr>
          <w:sz w:val="22"/>
          <w:szCs w:val="22"/>
          <w:vertAlign w:val="subscript"/>
          <w:lang w:val="en-US" w:eastAsia="fr-FR"/>
        </w:rPr>
        <w:t>2</w:t>
      </w:r>
      <w:r w:rsidR="00B27B99" w:rsidRPr="00B27B99">
        <w:rPr>
          <w:sz w:val="22"/>
          <w:szCs w:val="22"/>
          <w:lang w:val="en-US" w:eastAsia="fr-FR"/>
        </w:rPr>
        <w:t>Pu</w:t>
      </w:r>
      <w:r w:rsidR="00B27B99" w:rsidRPr="00B27B99">
        <w:rPr>
          <w:sz w:val="22"/>
          <w:szCs w:val="22"/>
          <w:vertAlign w:val="subscript"/>
          <w:lang w:val="en-US" w:eastAsia="fr-FR"/>
        </w:rPr>
        <w:t>2</w:t>
      </w:r>
      <w:r w:rsidR="00B27B99" w:rsidRPr="00B27B99">
        <w:rPr>
          <w:sz w:val="22"/>
          <w:szCs w:val="22"/>
          <w:lang w:val="en-US" w:eastAsia="fr-FR"/>
        </w:rPr>
        <w:t>O</w:t>
      </w:r>
      <w:r w:rsidR="00B27B99" w:rsidRPr="00B27B99">
        <w:rPr>
          <w:sz w:val="22"/>
          <w:szCs w:val="22"/>
          <w:vertAlign w:val="subscript"/>
          <w:lang w:val="en-US" w:eastAsia="fr-FR"/>
        </w:rPr>
        <w:t>7</w:t>
      </w:r>
      <w:r w:rsidR="00B27B99" w:rsidRPr="00B27B99">
        <w:rPr>
          <w:sz w:val="22"/>
          <w:szCs w:val="22"/>
          <w:lang w:val="en-US" w:eastAsia="fr-FR"/>
        </w:rPr>
        <w:sym w:font="Symbol" w:char="F0D7"/>
      </w:r>
      <w:r w:rsidR="00B27B99" w:rsidRPr="00B27B99">
        <w:rPr>
          <w:i/>
          <w:sz w:val="22"/>
          <w:szCs w:val="22"/>
          <w:lang w:val="en-US" w:eastAsia="fr-FR"/>
        </w:rPr>
        <w:t>x</w:t>
      </w:r>
      <w:r w:rsidR="00B27B99" w:rsidRPr="00B27B99">
        <w:rPr>
          <w:sz w:val="22"/>
          <w:szCs w:val="22"/>
          <w:lang w:val="en-US" w:eastAsia="fr-FR"/>
        </w:rPr>
        <w:t>H</w:t>
      </w:r>
      <w:r w:rsidR="00B27B99" w:rsidRPr="00B27B99">
        <w:rPr>
          <w:sz w:val="22"/>
          <w:szCs w:val="22"/>
          <w:vertAlign w:val="subscript"/>
          <w:lang w:val="en-US" w:eastAsia="fr-FR"/>
        </w:rPr>
        <w:t>2</w:t>
      </w:r>
      <w:r w:rsidR="00B27B99" w:rsidRPr="00B27B99">
        <w:rPr>
          <w:sz w:val="22"/>
          <w:szCs w:val="22"/>
          <w:lang w:val="en-US" w:eastAsia="fr-FR"/>
        </w:rPr>
        <w:t>O(</w:t>
      </w:r>
      <w:proofErr w:type="spellStart"/>
      <w:r w:rsidR="00B27B99" w:rsidRPr="00B27B99">
        <w:rPr>
          <w:sz w:val="22"/>
          <w:szCs w:val="22"/>
          <w:lang w:val="en-US" w:eastAsia="fr-FR"/>
        </w:rPr>
        <w:t>cr</w:t>
      </w:r>
      <w:proofErr w:type="spellEnd"/>
      <w:r w:rsidR="00B27B99" w:rsidRPr="00B27B99">
        <w:rPr>
          <w:sz w:val="22"/>
          <w:szCs w:val="22"/>
          <w:lang w:val="en-US" w:eastAsia="fr-FR"/>
        </w:rPr>
        <w:t>)</w:t>
      </w:r>
      <w:r w:rsidR="00322E6B">
        <w:rPr>
          <w:sz w:val="22"/>
          <w:szCs w:val="22"/>
          <w:lang w:val="en-US" w:eastAsia="fr-FR"/>
        </w:rPr>
        <w:t xml:space="preserve">. </w:t>
      </w:r>
      <w:r w:rsidR="00F03FFB" w:rsidRPr="00B27B99">
        <w:rPr>
          <w:sz w:val="22"/>
          <w:szCs w:val="22"/>
          <w:lang w:val="en-US" w:eastAsia="fr-FR"/>
        </w:rPr>
        <w:t xml:space="preserve">The </w:t>
      </w:r>
      <w:r w:rsidR="00F03FFB">
        <w:rPr>
          <w:sz w:val="22"/>
          <w:szCs w:val="22"/>
          <w:lang w:val="en-US" w:eastAsia="fr-FR"/>
        </w:rPr>
        <w:t xml:space="preserve">yellow-brownish </w:t>
      </w:r>
      <w:r w:rsidR="00A21C33">
        <w:rPr>
          <w:sz w:val="22"/>
          <w:szCs w:val="22"/>
          <w:lang w:val="en-US" w:eastAsia="fr-FR"/>
        </w:rPr>
        <w:t xml:space="preserve">Pu(VI) </w:t>
      </w:r>
      <w:r w:rsidR="00F03FFB">
        <w:rPr>
          <w:sz w:val="22"/>
          <w:szCs w:val="22"/>
          <w:lang w:val="en-US" w:eastAsia="fr-FR"/>
        </w:rPr>
        <w:t>solid phase precipitated in Ca(OH)</w:t>
      </w:r>
      <w:r w:rsidR="00F03FFB" w:rsidRPr="004F6A34">
        <w:rPr>
          <w:sz w:val="22"/>
          <w:szCs w:val="22"/>
          <w:vertAlign w:val="subscript"/>
          <w:lang w:val="en-US" w:eastAsia="fr-FR"/>
        </w:rPr>
        <w:t>2</w:t>
      </w:r>
      <w:r w:rsidR="00F03FFB">
        <w:rPr>
          <w:sz w:val="22"/>
          <w:szCs w:val="22"/>
          <w:lang w:val="en-US" w:eastAsia="fr-FR"/>
        </w:rPr>
        <w:t xml:space="preserve"> solution </w:t>
      </w:r>
      <w:r w:rsidR="006947D3">
        <w:rPr>
          <w:sz w:val="22"/>
          <w:szCs w:val="22"/>
          <w:lang w:val="en-US" w:eastAsia="fr-FR"/>
        </w:rPr>
        <w:t xml:space="preserve">consists of small </w:t>
      </w:r>
      <w:r w:rsidR="00F03FFB">
        <w:rPr>
          <w:sz w:val="22"/>
          <w:szCs w:val="22"/>
          <w:lang w:val="en-US" w:eastAsia="fr-FR"/>
        </w:rPr>
        <w:t>rod</w:t>
      </w:r>
      <w:r w:rsidR="006947D3">
        <w:rPr>
          <w:sz w:val="22"/>
          <w:szCs w:val="22"/>
          <w:lang w:val="en-US" w:eastAsia="fr-FR"/>
        </w:rPr>
        <w:t>s</w:t>
      </w:r>
      <w:r w:rsidR="00F03FFB">
        <w:rPr>
          <w:sz w:val="22"/>
          <w:szCs w:val="22"/>
          <w:lang w:val="en-US" w:eastAsia="fr-FR"/>
        </w:rPr>
        <w:t xml:space="preserve"> (SEM) with a Ca : Pu ratio of 0.5 : 1 (EDX). </w:t>
      </w:r>
      <w:r w:rsidR="00A21C33">
        <w:rPr>
          <w:sz w:val="22"/>
          <w:szCs w:val="22"/>
          <w:lang w:val="en-US" w:eastAsia="fr-FR"/>
        </w:rPr>
        <w:t xml:space="preserve">Based on the XRD pattern, the solid phase is not isostructural with the </w:t>
      </w:r>
      <w:proofErr w:type="spellStart"/>
      <w:r w:rsidR="00A21C33">
        <w:rPr>
          <w:sz w:val="22"/>
          <w:szCs w:val="22"/>
          <w:lang w:val="en-US" w:eastAsia="fr-FR"/>
        </w:rPr>
        <w:t>uranate</w:t>
      </w:r>
      <w:proofErr w:type="spellEnd"/>
      <w:r w:rsidR="00A21C33">
        <w:rPr>
          <w:sz w:val="22"/>
          <w:szCs w:val="22"/>
          <w:lang w:val="en-US" w:eastAsia="fr-FR"/>
        </w:rPr>
        <w:t>(VI)-like CaU</w:t>
      </w:r>
      <w:r w:rsidR="00A21C33" w:rsidRPr="00F03FFB">
        <w:rPr>
          <w:sz w:val="22"/>
          <w:szCs w:val="22"/>
          <w:vertAlign w:val="subscript"/>
          <w:lang w:val="en-US" w:eastAsia="fr-FR"/>
        </w:rPr>
        <w:t>2</w:t>
      </w:r>
      <w:r w:rsidR="00A21C33">
        <w:rPr>
          <w:sz w:val="22"/>
          <w:szCs w:val="22"/>
          <w:lang w:val="en-US" w:eastAsia="fr-FR"/>
        </w:rPr>
        <w:t>O</w:t>
      </w:r>
      <w:r w:rsidR="00A21C33" w:rsidRPr="00F03FFB">
        <w:rPr>
          <w:sz w:val="22"/>
          <w:szCs w:val="22"/>
          <w:vertAlign w:val="subscript"/>
          <w:lang w:val="en-US" w:eastAsia="fr-FR"/>
        </w:rPr>
        <w:t>7</w:t>
      </w:r>
      <w:r w:rsidR="00A21C33">
        <w:rPr>
          <w:sz w:val="22"/>
          <w:szCs w:val="22"/>
          <w:lang w:val="en-US" w:eastAsia="fr-FR"/>
        </w:rPr>
        <w:t>∙3H</w:t>
      </w:r>
      <w:r w:rsidR="00A21C33" w:rsidRPr="00F03FFB">
        <w:rPr>
          <w:sz w:val="22"/>
          <w:szCs w:val="22"/>
          <w:vertAlign w:val="subscript"/>
          <w:lang w:val="en-US" w:eastAsia="fr-FR"/>
        </w:rPr>
        <w:t>2</w:t>
      </w:r>
      <w:r w:rsidR="00A21C33">
        <w:rPr>
          <w:sz w:val="22"/>
          <w:szCs w:val="22"/>
          <w:lang w:val="en-US" w:eastAsia="fr-FR"/>
        </w:rPr>
        <w:t>O(</w:t>
      </w:r>
      <w:proofErr w:type="spellStart"/>
      <w:r w:rsidR="00A21C33">
        <w:rPr>
          <w:sz w:val="22"/>
          <w:szCs w:val="22"/>
          <w:lang w:val="en-US" w:eastAsia="fr-FR"/>
        </w:rPr>
        <w:t>cr</w:t>
      </w:r>
      <w:proofErr w:type="spellEnd"/>
      <w:r w:rsidR="00A21C33">
        <w:rPr>
          <w:sz w:val="22"/>
          <w:szCs w:val="22"/>
          <w:lang w:val="en-US" w:eastAsia="fr-FR"/>
        </w:rPr>
        <w:t xml:space="preserve">) </w:t>
      </w:r>
      <w:r w:rsidR="00A21C33" w:rsidRPr="0068774D">
        <w:rPr>
          <w:sz w:val="22"/>
          <w:szCs w:val="22"/>
          <w:lang w:val="en-US" w:eastAsia="fr-FR"/>
        </w:rPr>
        <w:t>(hexagonal platelets)</w:t>
      </w:r>
      <w:r w:rsidR="00A21C33">
        <w:rPr>
          <w:sz w:val="22"/>
          <w:szCs w:val="22"/>
          <w:lang w:val="en-US" w:eastAsia="fr-FR"/>
        </w:rPr>
        <w:t xml:space="preserve"> reported in [3]. </w:t>
      </w:r>
      <w:r w:rsidR="00AE6B64">
        <w:rPr>
          <w:sz w:val="22"/>
          <w:szCs w:val="22"/>
          <w:lang w:val="en-US" w:eastAsia="fr-FR"/>
        </w:rPr>
        <w:t>The results are in agreement with an empirical formula Ca</w:t>
      </w:r>
      <w:r w:rsidR="00AE6B64" w:rsidRPr="00DF6CF2">
        <w:rPr>
          <w:sz w:val="22"/>
          <w:szCs w:val="22"/>
          <w:vertAlign w:val="subscript"/>
          <w:lang w:val="en-US" w:eastAsia="fr-FR"/>
        </w:rPr>
        <w:t>0.5</w:t>
      </w:r>
      <w:r w:rsidR="00AE6B64">
        <w:rPr>
          <w:sz w:val="22"/>
          <w:szCs w:val="22"/>
          <w:lang w:val="en-US" w:eastAsia="fr-FR"/>
        </w:rPr>
        <w:t>PuO</w:t>
      </w:r>
      <w:r w:rsidR="00AE6B64" w:rsidRPr="00DF6CF2">
        <w:rPr>
          <w:sz w:val="22"/>
          <w:szCs w:val="22"/>
          <w:vertAlign w:val="subscript"/>
          <w:lang w:val="en-US" w:eastAsia="fr-FR"/>
        </w:rPr>
        <w:t>2</w:t>
      </w:r>
      <w:r w:rsidR="00AE6B64">
        <w:rPr>
          <w:sz w:val="22"/>
          <w:szCs w:val="22"/>
          <w:lang w:val="en-US" w:eastAsia="fr-FR"/>
        </w:rPr>
        <w:t>(OH)</w:t>
      </w:r>
      <w:r w:rsidR="00AE6B64" w:rsidRPr="00DF6CF2">
        <w:rPr>
          <w:sz w:val="22"/>
          <w:szCs w:val="22"/>
          <w:vertAlign w:val="subscript"/>
          <w:lang w:val="en-US" w:eastAsia="fr-FR"/>
        </w:rPr>
        <w:t>3</w:t>
      </w:r>
      <w:r w:rsidR="00AE6B64" w:rsidRPr="00B27B99">
        <w:rPr>
          <w:sz w:val="22"/>
          <w:szCs w:val="22"/>
          <w:lang w:val="en-US" w:eastAsia="fr-FR"/>
        </w:rPr>
        <w:sym w:font="Symbol" w:char="F0D7"/>
      </w:r>
      <w:r w:rsidR="00AE6B64">
        <w:rPr>
          <w:i/>
          <w:sz w:val="22"/>
          <w:szCs w:val="22"/>
          <w:lang w:val="en-US" w:eastAsia="fr-FR"/>
        </w:rPr>
        <w:t>x</w:t>
      </w:r>
      <w:r w:rsidR="00AE6B64" w:rsidRPr="00B27B99">
        <w:rPr>
          <w:sz w:val="22"/>
          <w:szCs w:val="22"/>
          <w:lang w:val="en-US" w:eastAsia="fr-FR"/>
        </w:rPr>
        <w:t>H</w:t>
      </w:r>
      <w:r w:rsidR="00AE6B64" w:rsidRPr="00B27B99">
        <w:rPr>
          <w:sz w:val="22"/>
          <w:szCs w:val="22"/>
          <w:vertAlign w:val="subscript"/>
          <w:lang w:val="en-US" w:eastAsia="fr-FR"/>
        </w:rPr>
        <w:t>2</w:t>
      </w:r>
      <w:r w:rsidR="00AE6B64" w:rsidRPr="00B27B99">
        <w:rPr>
          <w:sz w:val="22"/>
          <w:szCs w:val="22"/>
          <w:lang w:val="en-US" w:eastAsia="fr-FR"/>
        </w:rPr>
        <w:t>O(</w:t>
      </w:r>
      <w:proofErr w:type="spellStart"/>
      <w:r w:rsidR="00AE6B64" w:rsidRPr="00B27B99">
        <w:rPr>
          <w:sz w:val="22"/>
          <w:szCs w:val="22"/>
          <w:lang w:val="en-US" w:eastAsia="fr-FR"/>
        </w:rPr>
        <w:t>cr</w:t>
      </w:r>
      <w:proofErr w:type="spellEnd"/>
      <w:r w:rsidR="00AE6B64" w:rsidRPr="00B27B99">
        <w:rPr>
          <w:sz w:val="22"/>
          <w:szCs w:val="22"/>
          <w:lang w:val="en-US" w:eastAsia="fr-FR"/>
        </w:rPr>
        <w:t>)</w:t>
      </w:r>
      <w:r w:rsidR="00AE6B64">
        <w:rPr>
          <w:sz w:val="22"/>
          <w:szCs w:val="22"/>
          <w:lang w:val="en-US" w:eastAsia="fr-FR"/>
        </w:rPr>
        <w:t xml:space="preserve"> (</w:t>
      </w:r>
      <w:proofErr w:type="spellStart"/>
      <w:r w:rsidR="00AE6B64">
        <w:rPr>
          <w:sz w:val="22"/>
          <w:szCs w:val="22"/>
          <w:lang w:val="en-US" w:eastAsia="fr-FR"/>
        </w:rPr>
        <w:t>plutonyl</w:t>
      </w:r>
      <w:proofErr w:type="spellEnd"/>
      <w:r w:rsidR="00491BCE">
        <w:rPr>
          <w:sz w:val="22"/>
          <w:szCs w:val="22"/>
          <w:lang w:val="en-US" w:eastAsia="fr-FR"/>
        </w:rPr>
        <w:t>(VI)-like</w:t>
      </w:r>
      <w:r w:rsidR="00AE6B64">
        <w:rPr>
          <w:sz w:val="22"/>
          <w:szCs w:val="22"/>
          <w:lang w:val="en-US" w:eastAsia="fr-FR"/>
        </w:rPr>
        <w:t xml:space="preserve"> structure).</w:t>
      </w:r>
      <w:r w:rsidR="00F03FFB">
        <w:rPr>
          <w:sz w:val="22"/>
          <w:szCs w:val="22"/>
          <w:lang w:val="en-US" w:eastAsia="fr-FR"/>
        </w:rPr>
        <w:t xml:space="preserve"> </w:t>
      </w:r>
      <w:r w:rsidRPr="0068774D">
        <w:rPr>
          <w:sz w:val="22"/>
          <w:szCs w:val="22"/>
          <w:lang w:val="en-US" w:eastAsia="fr-FR"/>
        </w:rPr>
        <w:t>T</w:t>
      </w:r>
      <w:r w:rsidR="00404302" w:rsidRPr="0068774D">
        <w:rPr>
          <w:sz w:val="22"/>
          <w:szCs w:val="22"/>
          <w:lang w:val="en-US" w:eastAsia="fr-FR"/>
        </w:rPr>
        <w:t>hermogravimetric a</w:t>
      </w:r>
      <w:r w:rsidRPr="0068774D">
        <w:rPr>
          <w:sz w:val="22"/>
          <w:szCs w:val="22"/>
          <w:lang w:val="en-US" w:eastAsia="fr-FR"/>
        </w:rPr>
        <w:t xml:space="preserve">nalysis of both solid phases to determine the content of crystal water </w:t>
      </w:r>
      <w:r w:rsidR="00D37EE7" w:rsidRPr="0068774D">
        <w:rPr>
          <w:sz w:val="22"/>
          <w:szCs w:val="22"/>
          <w:lang w:val="en-US" w:eastAsia="fr-FR"/>
        </w:rPr>
        <w:t>will be performed at the end of the solubility study.</w:t>
      </w:r>
      <w:r w:rsidRPr="0068774D">
        <w:rPr>
          <w:sz w:val="22"/>
          <w:szCs w:val="22"/>
          <w:lang w:val="en-US" w:eastAsia="fr-FR"/>
        </w:rPr>
        <w:t xml:space="preserve"> </w:t>
      </w:r>
      <w:r w:rsidR="00540BEA" w:rsidRPr="0068774D">
        <w:rPr>
          <w:sz w:val="22"/>
          <w:szCs w:val="22"/>
          <w:lang w:val="en-GB" w:eastAsia="fr-FR"/>
        </w:rPr>
        <w:t>Bas</w:t>
      </w:r>
      <w:r w:rsidR="00540BEA">
        <w:rPr>
          <w:sz w:val="22"/>
          <w:szCs w:val="22"/>
          <w:lang w:val="en-GB" w:eastAsia="fr-FR"/>
        </w:rPr>
        <w:t>ed on t</w:t>
      </w:r>
      <w:r w:rsidR="00307C2A">
        <w:rPr>
          <w:sz w:val="22"/>
          <w:szCs w:val="22"/>
          <w:lang w:val="en-GB" w:eastAsia="fr-FR"/>
        </w:rPr>
        <w:t>he initial data</w:t>
      </w:r>
      <w:r w:rsidR="00540BEA">
        <w:rPr>
          <w:sz w:val="22"/>
          <w:szCs w:val="22"/>
          <w:lang w:val="en-GB" w:eastAsia="fr-FR"/>
        </w:rPr>
        <w:t xml:space="preserve">, both solid phases show a </w:t>
      </w:r>
      <w:r w:rsidR="00D37EE7">
        <w:rPr>
          <w:sz w:val="22"/>
          <w:szCs w:val="22"/>
          <w:lang w:val="en-GB" w:eastAsia="fr-FR"/>
        </w:rPr>
        <w:t xml:space="preserve">systematic increase of </w:t>
      </w:r>
      <w:r w:rsidR="00540BEA">
        <w:rPr>
          <w:sz w:val="22"/>
          <w:szCs w:val="22"/>
          <w:lang w:val="en-GB" w:eastAsia="fr-FR"/>
        </w:rPr>
        <w:t xml:space="preserve">the </w:t>
      </w:r>
      <w:r w:rsidR="00D37EE7">
        <w:rPr>
          <w:sz w:val="22"/>
          <w:szCs w:val="22"/>
          <w:lang w:val="en-GB" w:eastAsia="fr-FR"/>
        </w:rPr>
        <w:t>Pu(VI)</w:t>
      </w:r>
      <w:r w:rsidR="00540BEA">
        <w:rPr>
          <w:sz w:val="22"/>
          <w:szCs w:val="22"/>
          <w:lang w:val="en-GB" w:eastAsia="fr-FR"/>
        </w:rPr>
        <w:t xml:space="preserve"> solubility </w:t>
      </w:r>
      <w:r w:rsidR="00D37EE7">
        <w:rPr>
          <w:sz w:val="22"/>
          <w:szCs w:val="22"/>
          <w:lang w:val="en-GB" w:eastAsia="fr-FR"/>
        </w:rPr>
        <w:t xml:space="preserve">with slope </w:t>
      </w:r>
      <w:r w:rsidR="00D37EE7">
        <w:rPr>
          <w:rFonts w:ascii="Calibri" w:hAnsi="Calibri" w:cs="Calibri"/>
          <w:sz w:val="22"/>
          <w:szCs w:val="22"/>
          <w:lang w:val="en-GB" w:eastAsia="fr-FR"/>
        </w:rPr>
        <w:t>≈</w:t>
      </w:r>
      <w:r w:rsidR="00D37EE7">
        <w:rPr>
          <w:sz w:val="22"/>
          <w:szCs w:val="22"/>
          <w:lang w:val="en-GB" w:eastAsia="fr-FR"/>
        </w:rPr>
        <w:t xml:space="preserve">+1 for </w:t>
      </w:r>
      <w:proofErr w:type="spellStart"/>
      <w:r w:rsidR="00D37EE7">
        <w:rPr>
          <w:sz w:val="22"/>
          <w:szCs w:val="22"/>
          <w:lang w:val="en-GB" w:eastAsia="fr-FR"/>
        </w:rPr>
        <w:t>pH</w:t>
      </w:r>
      <w:r w:rsidR="00D37EE7" w:rsidRPr="00D37EE7">
        <w:rPr>
          <w:sz w:val="22"/>
          <w:szCs w:val="22"/>
          <w:vertAlign w:val="subscript"/>
          <w:lang w:val="en-GB" w:eastAsia="fr-FR"/>
        </w:rPr>
        <w:t>m</w:t>
      </w:r>
      <w:proofErr w:type="spellEnd"/>
      <w:r w:rsidR="00D37EE7">
        <w:rPr>
          <w:sz w:val="22"/>
          <w:szCs w:val="22"/>
          <w:lang w:val="en-GB" w:eastAsia="fr-FR"/>
        </w:rPr>
        <w:t xml:space="preserve"> ≥ 11.5 which </w:t>
      </w:r>
      <w:r w:rsidR="00307C2A">
        <w:rPr>
          <w:sz w:val="22"/>
          <w:szCs w:val="22"/>
          <w:lang w:val="en-GB" w:eastAsia="fr-FR"/>
        </w:rPr>
        <w:t xml:space="preserve">can be explained </w:t>
      </w:r>
      <w:r w:rsidR="00540BEA">
        <w:rPr>
          <w:sz w:val="22"/>
          <w:szCs w:val="22"/>
          <w:lang w:val="en-GB" w:eastAsia="fr-FR"/>
        </w:rPr>
        <w:t>by</w:t>
      </w:r>
      <w:r w:rsidR="00D37EE7">
        <w:rPr>
          <w:sz w:val="22"/>
          <w:szCs w:val="22"/>
          <w:lang w:val="en-GB" w:eastAsia="fr-FR"/>
        </w:rPr>
        <w:t xml:space="preserve"> PuO</w:t>
      </w:r>
      <w:r w:rsidR="00D37EE7" w:rsidRPr="00D37EE7">
        <w:rPr>
          <w:sz w:val="22"/>
          <w:szCs w:val="22"/>
          <w:vertAlign w:val="subscript"/>
          <w:lang w:val="en-GB" w:eastAsia="fr-FR"/>
        </w:rPr>
        <w:t>2</w:t>
      </w:r>
      <w:r w:rsidR="00D37EE7">
        <w:rPr>
          <w:sz w:val="22"/>
          <w:szCs w:val="22"/>
          <w:lang w:val="en-GB" w:eastAsia="fr-FR"/>
        </w:rPr>
        <w:t>(OH)</w:t>
      </w:r>
      <w:r w:rsidR="00D37EE7" w:rsidRPr="00D37EE7">
        <w:rPr>
          <w:sz w:val="22"/>
          <w:szCs w:val="22"/>
          <w:vertAlign w:val="subscript"/>
          <w:lang w:val="en-GB" w:eastAsia="fr-FR"/>
        </w:rPr>
        <w:t>4</w:t>
      </w:r>
      <w:r w:rsidR="00D37EE7" w:rsidRPr="00D37EE7">
        <w:rPr>
          <w:sz w:val="22"/>
          <w:szCs w:val="22"/>
          <w:vertAlign w:val="superscript"/>
          <w:lang w:val="en-GB" w:eastAsia="fr-FR"/>
        </w:rPr>
        <w:t>2−</w:t>
      </w:r>
      <w:r w:rsidR="00D37EE7">
        <w:rPr>
          <w:sz w:val="22"/>
          <w:szCs w:val="22"/>
          <w:lang w:val="en-GB" w:eastAsia="fr-FR"/>
        </w:rPr>
        <w:t xml:space="preserve"> as predominant Pu(VI) </w:t>
      </w:r>
      <w:r w:rsidR="00F2114F">
        <w:rPr>
          <w:sz w:val="22"/>
          <w:szCs w:val="22"/>
          <w:lang w:val="en-GB" w:eastAsia="fr-FR"/>
        </w:rPr>
        <w:t xml:space="preserve">aqueous </w:t>
      </w:r>
      <w:r w:rsidR="00D37EE7">
        <w:rPr>
          <w:sz w:val="22"/>
          <w:szCs w:val="22"/>
          <w:lang w:val="en-GB" w:eastAsia="fr-FR"/>
        </w:rPr>
        <w:t>species</w:t>
      </w:r>
      <w:r w:rsidR="00540BEA">
        <w:rPr>
          <w:sz w:val="22"/>
          <w:szCs w:val="22"/>
          <w:lang w:val="en-GB" w:eastAsia="fr-FR"/>
        </w:rPr>
        <w:t xml:space="preserve"> under these conditions</w:t>
      </w:r>
      <w:r w:rsidR="00D37EE7">
        <w:rPr>
          <w:sz w:val="22"/>
          <w:szCs w:val="22"/>
          <w:lang w:val="en-GB" w:eastAsia="fr-FR"/>
        </w:rPr>
        <w:t>:</w:t>
      </w:r>
    </w:p>
    <w:p w14:paraId="5A1223F2" w14:textId="77777777" w:rsidR="00076D87" w:rsidRDefault="00076D87" w:rsidP="00D37EE7">
      <w:pPr>
        <w:jc w:val="both"/>
        <w:rPr>
          <w:sz w:val="22"/>
          <w:szCs w:val="22"/>
          <w:lang w:val="en-GB" w:eastAsia="fr-FR"/>
        </w:rPr>
      </w:pPr>
    </w:p>
    <w:p w14:paraId="04F9E577" w14:textId="77777777" w:rsidR="00307C2A" w:rsidRDefault="00D37EE7" w:rsidP="00D37EE7">
      <w:pPr>
        <w:ind w:firstLine="708"/>
        <w:jc w:val="both"/>
        <w:rPr>
          <w:sz w:val="22"/>
          <w:szCs w:val="22"/>
          <w:lang w:val="en-GB" w:eastAsia="fr-FR"/>
        </w:rPr>
      </w:pPr>
      <w:r>
        <w:rPr>
          <w:sz w:val="22"/>
          <w:szCs w:val="22"/>
          <w:lang w:val="en-US" w:eastAsia="fr-FR"/>
        </w:rPr>
        <w:t xml:space="preserve">0.5 </w:t>
      </w:r>
      <w:r w:rsidRPr="00B27B99">
        <w:rPr>
          <w:sz w:val="22"/>
          <w:szCs w:val="22"/>
          <w:lang w:val="en-US" w:eastAsia="fr-FR"/>
        </w:rPr>
        <w:t>Na</w:t>
      </w:r>
      <w:r w:rsidRPr="00B27B99">
        <w:rPr>
          <w:sz w:val="22"/>
          <w:szCs w:val="22"/>
          <w:vertAlign w:val="subscript"/>
          <w:lang w:val="en-US" w:eastAsia="fr-FR"/>
        </w:rPr>
        <w:t>2</w:t>
      </w:r>
      <w:r>
        <w:rPr>
          <w:sz w:val="22"/>
          <w:szCs w:val="22"/>
          <w:lang w:val="en-US" w:eastAsia="fr-FR"/>
        </w:rPr>
        <w:t>Pu</w:t>
      </w:r>
      <w:r w:rsidRPr="00B27B99">
        <w:rPr>
          <w:sz w:val="22"/>
          <w:szCs w:val="22"/>
          <w:vertAlign w:val="subscript"/>
          <w:lang w:val="en-US" w:eastAsia="fr-FR"/>
        </w:rPr>
        <w:t>2</w:t>
      </w:r>
      <w:r w:rsidRPr="00B27B99">
        <w:rPr>
          <w:sz w:val="22"/>
          <w:szCs w:val="22"/>
          <w:lang w:val="en-US" w:eastAsia="fr-FR"/>
        </w:rPr>
        <w:t>O</w:t>
      </w:r>
      <w:r w:rsidRPr="00B27B99">
        <w:rPr>
          <w:sz w:val="22"/>
          <w:szCs w:val="22"/>
          <w:vertAlign w:val="subscript"/>
          <w:lang w:val="en-US" w:eastAsia="fr-FR"/>
        </w:rPr>
        <w:t>7</w:t>
      </w:r>
      <w:r w:rsidRPr="00B27B99">
        <w:rPr>
          <w:sz w:val="22"/>
          <w:szCs w:val="22"/>
          <w:lang w:val="en-US" w:eastAsia="fr-FR"/>
        </w:rPr>
        <w:sym w:font="Symbol" w:char="F0D7"/>
      </w:r>
      <w:r w:rsidRPr="00B27B99">
        <w:rPr>
          <w:i/>
          <w:sz w:val="22"/>
          <w:szCs w:val="22"/>
          <w:lang w:val="en-US" w:eastAsia="fr-FR"/>
        </w:rPr>
        <w:t>x</w:t>
      </w:r>
      <w:r w:rsidRPr="00B27B99">
        <w:rPr>
          <w:sz w:val="22"/>
          <w:szCs w:val="22"/>
          <w:lang w:val="en-US" w:eastAsia="fr-FR"/>
        </w:rPr>
        <w:t>H</w:t>
      </w:r>
      <w:r w:rsidRPr="00B27B99">
        <w:rPr>
          <w:sz w:val="22"/>
          <w:szCs w:val="22"/>
          <w:vertAlign w:val="subscript"/>
          <w:lang w:val="en-US" w:eastAsia="fr-FR"/>
        </w:rPr>
        <w:t>2</w:t>
      </w:r>
      <w:r w:rsidRPr="00B27B99">
        <w:rPr>
          <w:sz w:val="22"/>
          <w:szCs w:val="22"/>
          <w:lang w:val="en-US" w:eastAsia="fr-FR"/>
        </w:rPr>
        <w:t>O(</w:t>
      </w:r>
      <w:proofErr w:type="spellStart"/>
      <w:r w:rsidRPr="00B27B99">
        <w:rPr>
          <w:sz w:val="22"/>
          <w:szCs w:val="22"/>
          <w:lang w:val="en-US" w:eastAsia="fr-FR"/>
        </w:rPr>
        <w:t>cr</w:t>
      </w:r>
      <w:proofErr w:type="spellEnd"/>
      <w:r w:rsidRPr="00B27B99">
        <w:rPr>
          <w:sz w:val="22"/>
          <w:szCs w:val="22"/>
          <w:lang w:val="en-US" w:eastAsia="fr-FR"/>
        </w:rPr>
        <w:t>)</w:t>
      </w:r>
      <w:r>
        <w:rPr>
          <w:sz w:val="22"/>
          <w:szCs w:val="22"/>
          <w:lang w:val="en-US" w:eastAsia="fr-FR"/>
        </w:rPr>
        <w:t xml:space="preserve"> + (</w:t>
      </w:r>
      <w:r w:rsidR="007D008A">
        <w:rPr>
          <w:sz w:val="22"/>
          <w:szCs w:val="22"/>
          <w:lang w:val="en-US" w:eastAsia="fr-FR"/>
        </w:rPr>
        <w:t>2</w:t>
      </w:r>
      <w:r>
        <w:rPr>
          <w:sz w:val="22"/>
          <w:szCs w:val="22"/>
          <w:lang w:val="en-US" w:eastAsia="fr-FR"/>
        </w:rPr>
        <w:t>.5</w:t>
      </w:r>
      <w:r w:rsidRPr="001C0761">
        <w:rPr>
          <w:sz w:val="22"/>
          <w:szCs w:val="22"/>
          <w:lang w:val="en-US" w:eastAsia="fr-FR"/>
        </w:rPr>
        <w:t>−</w:t>
      </w:r>
      <w:r w:rsidR="00F2114F" w:rsidRPr="001C0761">
        <w:rPr>
          <w:sz w:val="22"/>
          <w:szCs w:val="22"/>
          <w:lang w:val="en-US" w:eastAsia="fr-FR"/>
        </w:rPr>
        <w:t>0.5</w:t>
      </w:r>
      <w:r w:rsidRPr="001C0761">
        <w:rPr>
          <w:sz w:val="22"/>
          <w:szCs w:val="22"/>
          <w:lang w:val="en-US" w:eastAsia="fr-FR"/>
        </w:rPr>
        <w:t>x) H</w:t>
      </w:r>
      <w:r w:rsidRPr="001C0761">
        <w:rPr>
          <w:sz w:val="22"/>
          <w:szCs w:val="22"/>
          <w:vertAlign w:val="subscript"/>
          <w:lang w:val="en-US" w:eastAsia="fr-FR"/>
        </w:rPr>
        <w:t>2</w:t>
      </w:r>
      <w:r w:rsidRPr="001C0761">
        <w:rPr>
          <w:sz w:val="22"/>
          <w:szCs w:val="22"/>
          <w:lang w:val="en-US" w:eastAsia="fr-FR"/>
        </w:rPr>
        <w:t>O</w:t>
      </w:r>
      <w:r w:rsidR="00F2114F" w:rsidRPr="001C0761">
        <w:rPr>
          <w:sz w:val="22"/>
          <w:szCs w:val="22"/>
          <w:lang w:val="en-US" w:eastAsia="fr-FR"/>
        </w:rPr>
        <w:t>(l)</w:t>
      </w:r>
      <w:r w:rsidRPr="001C0761">
        <w:rPr>
          <w:sz w:val="22"/>
          <w:szCs w:val="22"/>
          <w:lang w:val="en-US" w:eastAsia="fr-FR"/>
        </w:rPr>
        <w:t xml:space="preserve"> </w:t>
      </w:r>
      <w:r w:rsidR="00307C2A" w:rsidRPr="001C0761">
        <w:rPr>
          <w:sz w:val="22"/>
          <w:szCs w:val="22"/>
          <w:lang w:val="en-US" w:eastAsia="fr-FR"/>
        </w:rPr>
        <w:sym w:font="Wingdings" w:char="F0F3"/>
      </w:r>
      <w:r>
        <w:rPr>
          <w:sz w:val="22"/>
          <w:szCs w:val="22"/>
          <w:lang w:val="en-US" w:eastAsia="fr-FR"/>
        </w:rPr>
        <w:t xml:space="preserve"> Na</w:t>
      </w:r>
      <w:r w:rsidRPr="00D37EE7">
        <w:rPr>
          <w:sz w:val="22"/>
          <w:szCs w:val="22"/>
          <w:vertAlign w:val="superscript"/>
          <w:lang w:val="en-US" w:eastAsia="fr-FR"/>
        </w:rPr>
        <w:t>+</w:t>
      </w:r>
      <w:r>
        <w:rPr>
          <w:sz w:val="22"/>
          <w:szCs w:val="22"/>
          <w:lang w:val="en-US" w:eastAsia="fr-FR"/>
        </w:rPr>
        <w:t xml:space="preserve"> + </w:t>
      </w:r>
      <w:r>
        <w:rPr>
          <w:sz w:val="22"/>
          <w:szCs w:val="22"/>
          <w:lang w:val="en-GB" w:eastAsia="fr-FR"/>
        </w:rPr>
        <w:t>PuO</w:t>
      </w:r>
      <w:r w:rsidRPr="00D37EE7">
        <w:rPr>
          <w:sz w:val="22"/>
          <w:szCs w:val="22"/>
          <w:vertAlign w:val="subscript"/>
          <w:lang w:val="en-GB" w:eastAsia="fr-FR"/>
        </w:rPr>
        <w:t>2</w:t>
      </w:r>
      <w:r>
        <w:rPr>
          <w:sz w:val="22"/>
          <w:szCs w:val="22"/>
          <w:lang w:val="en-GB" w:eastAsia="fr-FR"/>
        </w:rPr>
        <w:t>(OH)</w:t>
      </w:r>
      <w:r w:rsidRPr="00D37EE7">
        <w:rPr>
          <w:sz w:val="22"/>
          <w:szCs w:val="22"/>
          <w:vertAlign w:val="subscript"/>
          <w:lang w:val="en-GB" w:eastAsia="fr-FR"/>
        </w:rPr>
        <w:t>4</w:t>
      </w:r>
      <w:r w:rsidRPr="00D37EE7">
        <w:rPr>
          <w:sz w:val="22"/>
          <w:szCs w:val="22"/>
          <w:vertAlign w:val="superscript"/>
          <w:lang w:val="en-GB" w:eastAsia="fr-FR"/>
        </w:rPr>
        <w:t>2−</w:t>
      </w:r>
      <w:r w:rsidR="00307C2A" w:rsidRPr="00307C2A">
        <w:rPr>
          <w:sz w:val="22"/>
          <w:szCs w:val="22"/>
          <w:lang w:val="en-GB" w:eastAsia="fr-FR"/>
        </w:rPr>
        <w:t xml:space="preserve"> </w:t>
      </w:r>
      <w:r w:rsidR="00307C2A">
        <w:rPr>
          <w:sz w:val="22"/>
          <w:szCs w:val="22"/>
          <w:lang w:val="en-GB" w:eastAsia="fr-FR"/>
        </w:rPr>
        <w:t>+ H</w:t>
      </w:r>
      <w:r w:rsidR="00307C2A" w:rsidRPr="00307C2A">
        <w:rPr>
          <w:sz w:val="22"/>
          <w:szCs w:val="22"/>
          <w:vertAlign w:val="superscript"/>
          <w:lang w:val="en-GB" w:eastAsia="fr-FR"/>
        </w:rPr>
        <w:t>+</w:t>
      </w:r>
      <w:r w:rsidR="00307C2A">
        <w:rPr>
          <w:sz w:val="22"/>
          <w:szCs w:val="22"/>
          <w:lang w:val="en-GB" w:eastAsia="fr-FR"/>
        </w:rPr>
        <w:t xml:space="preserve"> </w:t>
      </w:r>
    </w:p>
    <w:p w14:paraId="01E4C4F3" w14:textId="77777777" w:rsidR="00307C2A" w:rsidRDefault="00307C2A" w:rsidP="00307C2A">
      <w:pPr>
        <w:jc w:val="both"/>
        <w:rPr>
          <w:sz w:val="22"/>
          <w:szCs w:val="22"/>
          <w:lang w:val="en-GB" w:eastAsia="fr-FR"/>
        </w:rPr>
      </w:pPr>
      <w:r w:rsidRPr="00307C2A">
        <w:rPr>
          <w:sz w:val="22"/>
          <w:szCs w:val="22"/>
          <w:lang w:val="en-GB" w:eastAsia="fr-FR"/>
        </w:rPr>
        <w:t xml:space="preserve">and </w:t>
      </w:r>
    </w:p>
    <w:p w14:paraId="40645307" w14:textId="77777777" w:rsidR="00307C2A" w:rsidRDefault="00307C2A" w:rsidP="00D37EE7">
      <w:pPr>
        <w:ind w:firstLine="708"/>
        <w:jc w:val="both"/>
        <w:rPr>
          <w:sz w:val="22"/>
          <w:szCs w:val="22"/>
          <w:lang w:val="en-GB" w:eastAsia="fr-FR"/>
        </w:rPr>
      </w:pPr>
      <w:r>
        <w:rPr>
          <w:sz w:val="22"/>
          <w:szCs w:val="22"/>
          <w:lang w:val="en-US" w:eastAsia="fr-FR"/>
        </w:rPr>
        <w:t>Ca</w:t>
      </w:r>
      <w:r w:rsidRPr="00DF6CF2">
        <w:rPr>
          <w:sz w:val="22"/>
          <w:szCs w:val="22"/>
          <w:vertAlign w:val="subscript"/>
          <w:lang w:val="en-US" w:eastAsia="fr-FR"/>
        </w:rPr>
        <w:t>0.5</w:t>
      </w:r>
      <w:r>
        <w:rPr>
          <w:sz w:val="22"/>
          <w:szCs w:val="22"/>
          <w:lang w:val="en-US" w:eastAsia="fr-FR"/>
        </w:rPr>
        <w:t>PuO</w:t>
      </w:r>
      <w:r w:rsidRPr="00DF6CF2">
        <w:rPr>
          <w:sz w:val="22"/>
          <w:szCs w:val="22"/>
          <w:vertAlign w:val="subscript"/>
          <w:lang w:val="en-US" w:eastAsia="fr-FR"/>
        </w:rPr>
        <w:t>2</w:t>
      </w:r>
      <w:r>
        <w:rPr>
          <w:sz w:val="22"/>
          <w:szCs w:val="22"/>
          <w:lang w:val="en-US" w:eastAsia="fr-FR"/>
        </w:rPr>
        <w:t>(OH)</w:t>
      </w:r>
      <w:r w:rsidRPr="00DF6CF2">
        <w:rPr>
          <w:sz w:val="22"/>
          <w:szCs w:val="22"/>
          <w:vertAlign w:val="subscript"/>
          <w:lang w:val="en-US" w:eastAsia="fr-FR"/>
        </w:rPr>
        <w:t>3</w:t>
      </w:r>
      <w:r w:rsidRPr="00B27B99">
        <w:rPr>
          <w:sz w:val="22"/>
          <w:szCs w:val="22"/>
          <w:lang w:val="en-US" w:eastAsia="fr-FR"/>
        </w:rPr>
        <w:sym w:font="Symbol" w:char="F0D7"/>
      </w:r>
      <w:r w:rsidR="003264FF">
        <w:rPr>
          <w:i/>
          <w:sz w:val="22"/>
          <w:szCs w:val="22"/>
          <w:lang w:val="en-US" w:eastAsia="fr-FR"/>
        </w:rPr>
        <w:t>x</w:t>
      </w:r>
      <w:r w:rsidRPr="00B27B99">
        <w:rPr>
          <w:sz w:val="22"/>
          <w:szCs w:val="22"/>
          <w:lang w:val="en-US" w:eastAsia="fr-FR"/>
        </w:rPr>
        <w:t>H</w:t>
      </w:r>
      <w:r w:rsidRPr="00B27B99">
        <w:rPr>
          <w:sz w:val="22"/>
          <w:szCs w:val="22"/>
          <w:vertAlign w:val="subscript"/>
          <w:lang w:val="en-US" w:eastAsia="fr-FR"/>
        </w:rPr>
        <w:t>2</w:t>
      </w:r>
      <w:r w:rsidRPr="00B27B99">
        <w:rPr>
          <w:sz w:val="22"/>
          <w:szCs w:val="22"/>
          <w:lang w:val="en-US" w:eastAsia="fr-FR"/>
        </w:rPr>
        <w:t>O(</w:t>
      </w:r>
      <w:proofErr w:type="spellStart"/>
      <w:r w:rsidRPr="00B27B99">
        <w:rPr>
          <w:sz w:val="22"/>
          <w:szCs w:val="22"/>
          <w:lang w:val="en-US" w:eastAsia="fr-FR"/>
        </w:rPr>
        <w:t>cr</w:t>
      </w:r>
      <w:proofErr w:type="spellEnd"/>
      <w:r w:rsidRPr="00B27B99">
        <w:rPr>
          <w:sz w:val="22"/>
          <w:szCs w:val="22"/>
          <w:lang w:val="en-US" w:eastAsia="fr-FR"/>
        </w:rPr>
        <w:t>)</w:t>
      </w:r>
      <w:r>
        <w:rPr>
          <w:sz w:val="22"/>
          <w:szCs w:val="22"/>
          <w:lang w:val="en-US" w:eastAsia="fr-FR"/>
        </w:rPr>
        <w:t xml:space="preserve"> + (1−</w:t>
      </w:r>
      <w:r w:rsidR="003264FF">
        <w:rPr>
          <w:sz w:val="22"/>
          <w:szCs w:val="22"/>
          <w:lang w:val="en-US" w:eastAsia="fr-FR"/>
        </w:rPr>
        <w:t>x</w:t>
      </w:r>
      <w:r>
        <w:rPr>
          <w:sz w:val="22"/>
          <w:szCs w:val="22"/>
          <w:lang w:val="en-US" w:eastAsia="fr-FR"/>
        </w:rPr>
        <w:t>) H</w:t>
      </w:r>
      <w:r w:rsidRPr="00307C2A">
        <w:rPr>
          <w:sz w:val="22"/>
          <w:szCs w:val="22"/>
          <w:vertAlign w:val="subscript"/>
          <w:lang w:val="en-US" w:eastAsia="fr-FR"/>
        </w:rPr>
        <w:t>2</w:t>
      </w:r>
      <w:r>
        <w:rPr>
          <w:sz w:val="22"/>
          <w:szCs w:val="22"/>
          <w:lang w:val="en-US" w:eastAsia="fr-FR"/>
        </w:rPr>
        <w:t>O</w:t>
      </w:r>
      <w:r w:rsidR="00F2114F">
        <w:rPr>
          <w:sz w:val="22"/>
          <w:szCs w:val="22"/>
          <w:lang w:val="en-US" w:eastAsia="fr-FR"/>
        </w:rPr>
        <w:t>(l)</w:t>
      </w:r>
      <w:r>
        <w:rPr>
          <w:sz w:val="22"/>
          <w:szCs w:val="22"/>
          <w:lang w:val="en-US" w:eastAsia="fr-FR"/>
        </w:rPr>
        <w:t xml:space="preserve"> </w:t>
      </w:r>
      <w:r w:rsidRPr="00307C2A">
        <w:rPr>
          <w:sz w:val="22"/>
          <w:szCs w:val="22"/>
          <w:lang w:val="en-US" w:eastAsia="fr-FR"/>
        </w:rPr>
        <w:sym w:font="Wingdings" w:char="F0F3"/>
      </w:r>
      <w:r>
        <w:rPr>
          <w:sz w:val="22"/>
          <w:szCs w:val="22"/>
          <w:lang w:val="en-US" w:eastAsia="fr-FR"/>
        </w:rPr>
        <w:t xml:space="preserve"> 0.5 Ca</w:t>
      </w:r>
      <w:r>
        <w:rPr>
          <w:sz w:val="22"/>
          <w:szCs w:val="22"/>
          <w:vertAlign w:val="superscript"/>
          <w:lang w:val="en-US" w:eastAsia="fr-FR"/>
        </w:rPr>
        <w:t>2+</w:t>
      </w:r>
      <w:r>
        <w:rPr>
          <w:sz w:val="22"/>
          <w:szCs w:val="22"/>
          <w:lang w:val="en-US" w:eastAsia="fr-FR"/>
        </w:rPr>
        <w:t xml:space="preserve"> + </w:t>
      </w:r>
      <w:r>
        <w:rPr>
          <w:sz w:val="22"/>
          <w:szCs w:val="22"/>
          <w:lang w:val="en-GB" w:eastAsia="fr-FR"/>
        </w:rPr>
        <w:t>PuO</w:t>
      </w:r>
      <w:r w:rsidRPr="00D37EE7">
        <w:rPr>
          <w:sz w:val="22"/>
          <w:szCs w:val="22"/>
          <w:vertAlign w:val="subscript"/>
          <w:lang w:val="en-GB" w:eastAsia="fr-FR"/>
        </w:rPr>
        <w:t>2</w:t>
      </w:r>
      <w:r>
        <w:rPr>
          <w:sz w:val="22"/>
          <w:szCs w:val="22"/>
          <w:lang w:val="en-GB" w:eastAsia="fr-FR"/>
        </w:rPr>
        <w:t>(OH)</w:t>
      </w:r>
      <w:r w:rsidRPr="00D37EE7">
        <w:rPr>
          <w:sz w:val="22"/>
          <w:szCs w:val="22"/>
          <w:vertAlign w:val="subscript"/>
          <w:lang w:val="en-GB" w:eastAsia="fr-FR"/>
        </w:rPr>
        <w:t>4</w:t>
      </w:r>
      <w:r w:rsidRPr="00D37EE7">
        <w:rPr>
          <w:sz w:val="22"/>
          <w:szCs w:val="22"/>
          <w:vertAlign w:val="superscript"/>
          <w:lang w:val="en-GB" w:eastAsia="fr-FR"/>
        </w:rPr>
        <w:t>2−</w:t>
      </w:r>
      <w:r w:rsidRPr="00307C2A">
        <w:rPr>
          <w:sz w:val="22"/>
          <w:szCs w:val="22"/>
          <w:lang w:val="en-GB" w:eastAsia="fr-FR"/>
        </w:rPr>
        <w:t xml:space="preserve"> </w:t>
      </w:r>
      <w:r>
        <w:rPr>
          <w:sz w:val="22"/>
          <w:szCs w:val="22"/>
          <w:lang w:val="en-GB" w:eastAsia="fr-FR"/>
        </w:rPr>
        <w:t>+ H</w:t>
      </w:r>
      <w:r w:rsidRPr="00307C2A">
        <w:rPr>
          <w:sz w:val="22"/>
          <w:szCs w:val="22"/>
          <w:vertAlign w:val="superscript"/>
          <w:lang w:val="en-GB" w:eastAsia="fr-FR"/>
        </w:rPr>
        <w:t>+</w:t>
      </w:r>
      <w:r w:rsidR="00540BEA" w:rsidRPr="00540BEA">
        <w:rPr>
          <w:sz w:val="22"/>
          <w:szCs w:val="22"/>
          <w:lang w:val="en-GB" w:eastAsia="fr-FR"/>
        </w:rPr>
        <w:t>.</w:t>
      </w:r>
    </w:p>
    <w:p w14:paraId="63D20896" w14:textId="77777777" w:rsidR="00076D87" w:rsidRDefault="00076D87" w:rsidP="00D37EE7">
      <w:pPr>
        <w:ind w:firstLine="708"/>
        <w:jc w:val="both"/>
        <w:rPr>
          <w:sz w:val="22"/>
          <w:szCs w:val="22"/>
          <w:lang w:val="en-GB" w:eastAsia="fr-FR"/>
        </w:rPr>
      </w:pPr>
    </w:p>
    <w:p w14:paraId="0BA0598F" w14:textId="77777777" w:rsidR="00526650" w:rsidRDefault="00540BEA" w:rsidP="00307C2A">
      <w:pPr>
        <w:jc w:val="both"/>
        <w:rPr>
          <w:sz w:val="22"/>
          <w:szCs w:val="22"/>
          <w:lang w:val="en-GB" w:eastAsia="fr-FR"/>
        </w:rPr>
      </w:pPr>
      <w:r>
        <w:rPr>
          <w:sz w:val="22"/>
          <w:szCs w:val="22"/>
          <w:lang w:val="en-GB" w:eastAsia="fr-FR"/>
        </w:rPr>
        <w:t xml:space="preserve">For U(VI) (and Np(VI) in </w:t>
      </w:r>
      <w:proofErr w:type="spellStart"/>
      <w:r>
        <w:rPr>
          <w:sz w:val="22"/>
          <w:szCs w:val="22"/>
          <w:lang w:val="en-GB" w:eastAsia="fr-FR"/>
        </w:rPr>
        <w:t>NaCl</w:t>
      </w:r>
      <w:proofErr w:type="spellEnd"/>
      <w:r>
        <w:rPr>
          <w:sz w:val="22"/>
          <w:szCs w:val="22"/>
          <w:lang w:val="en-GB" w:eastAsia="fr-FR"/>
        </w:rPr>
        <w:t xml:space="preserve"> solutions), </w:t>
      </w:r>
      <w:r w:rsidR="003264FF">
        <w:rPr>
          <w:sz w:val="22"/>
          <w:szCs w:val="22"/>
          <w:lang w:val="en-GB" w:eastAsia="fr-FR"/>
        </w:rPr>
        <w:t xml:space="preserve">an </w:t>
      </w:r>
      <w:r>
        <w:rPr>
          <w:sz w:val="22"/>
          <w:szCs w:val="22"/>
          <w:lang w:val="en-GB" w:eastAsia="fr-FR"/>
        </w:rPr>
        <w:t xml:space="preserve">analogous behaviour </w:t>
      </w:r>
      <w:r w:rsidR="003264FF">
        <w:rPr>
          <w:sz w:val="22"/>
          <w:szCs w:val="22"/>
          <w:lang w:val="en-GB" w:eastAsia="fr-FR"/>
        </w:rPr>
        <w:t>was observe</w:t>
      </w:r>
      <w:r w:rsidR="003264FF" w:rsidRPr="00A07832">
        <w:rPr>
          <w:sz w:val="22"/>
          <w:szCs w:val="22"/>
          <w:lang w:val="en-GB" w:eastAsia="fr-FR"/>
        </w:rPr>
        <w:t>d</w:t>
      </w:r>
      <w:r w:rsidRPr="00A07832">
        <w:rPr>
          <w:sz w:val="22"/>
          <w:szCs w:val="22"/>
          <w:lang w:val="en-GB" w:eastAsia="fr-FR"/>
        </w:rPr>
        <w:t xml:space="preserve"> [1,</w:t>
      </w:r>
      <w:r w:rsidR="0068774D" w:rsidRPr="00A07832">
        <w:rPr>
          <w:sz w:val="22"/>
          <w:szCs w:val="22"/>
          <w:lang w:val="en-GB" w:eastAsia="fr-FR"/>
        </w:rPr>
        <w:t xml:space="preserve"> </w:t>
      </w:r>
      <w:r w:rsidRPr="00A07832">
        <w:rPr>
          <w:sz w:val="22"/>
          <w:szCs w:val="22"/>
          <w:lang w:val="en-GB" w:eastAsia="fr-FR"/>
        </w:rPr>
        <w:t>2]. D</w:t>
      </w:r>
      <w:r w:rsidR="00D37EE7" w:rsidRPr="00A07832">
        <w:rPr>
          <w:sz w:val="22"/>
          <w:szCs w:val="22"/>
          <w:lang w:val="en-GB" w:eastAsia="fr-FR"/>
        </w:rPr>
        <w:t>et</w:t>
      </w:r>
      <w:r w:rsidR="00D37EE7">
        <w:rPr>
          <w:sz w:val="22"/>
          <w:szCs w:val="22"/>
          <w:lang w:val="en-GB" w:eastAsia="fr-FR"/>
        </w:rPr>
        <w:t>ails of the solubility behaviour</w:t>
      </w:r>
      <w:r w:rsidR="00307C2A">
        <w:rPr>
          <w:sz w:val="22"/>
          <w:szCs w:val="22"/>
          <w:lang w:val="en-GB" w:eastAsia="fr-FR"/>
        </w:rPr>
        <w:t>, especially the data obtained for the less alkaline region,</w:t>
      </w:r>
      <w:r w:rsidR="00D37EE7">
        <w:rPr>
          <w:sz w:val="22"/>
          <w:szCs w:val="22"/>
          <w:lang w:val="en-GB" w:eastAsia="fr-FR"/>
        </w:rPr>
        <w:t xml:space="preserve"> </w:t>
      </w:r>
      <w:r>
        <w:rPr>
          <w:sz w:val="22"/>
          <w:szCs w:val="22"/>
          <w:lang w:val="en-GB" w:eastAsia="fr-FR"/>
        </w:rPr>
        <w:t xml:space="preserve">and from the results of additional </w:t>
      </w:r>
      <w:r w:rsidR="003264FF">
        <w:rPr>
          <w:sz w:val="22"/>
          <w:szCs w:val="22"/>
          <w:lang w:val="en-GB" w:eastAsia="fr-FR"/>
        </w:rPr>
        <w:t xml:space="preserve">solution </w:t>
      </w:r>
      <w:r>
        <w:rPr>
          <w:sz w:val="22"/>
          <w:szCs w:val="22"/>
          <w:lang w:val="en-GB" w:eastAsia="fr-FR"/>
        </w:rPr>
        <w:t xml:space="preserve">Vis/NIR investigations </w:t>
      </w:r>
      <w:r w:rsidR="00D37EE7">
        <w:rPr>
          <w:sz w:val="22"/>
          <w:szCs w:val="22"/>
          <w:lang w:val="en-GB" w:eastAsia="fr-FR"/>
        </w:rPr>
        <w:t xml:space="preserve">will be discussed in our contribution. </w:t>
      </w:r>
    </w:p>
    <w:p w14:paraId="2198681E" w14:textId="77777777" w:rsidR="00526650" w:rsidRDefault="00526650" w:rsidP="00A4619E">
      <w:pPr>
        <w:jc w:val="both"/>
        <w:rPr>
          <w:sz w:val="22"/>
          <w:szCs w:val="22"/>
          <w:lang w:val="en-GB" w:eastAsia="fr-FR"/>
        </w:rPr>
      </w:pPr>
    </w:p>
    <w:p w14:paraId="0318AF39" w14:textId="4F0A26FA" w:rsidR="009F00CC" w:rsidRPr="009F00CC" w:rsidRDefault="009F00CC" w:rsidP="00A4619E">
      <w:pPr>
        <w:jc w:val="both"/>
        <w:rPr>
          <w:b/>
          <w:sz w:val="22"/>
          <w:szCs w:val="22"/>
          <w:lang w:val="en-GB" w:eastAsia="fr-FR"/>
        </w:rPr>
      </w:pPr>
      <w:r w:rsidRPr="009F00CC">
        <w:rPr>
          <w:b/>
          <w:sz w:val="22"/>
          <w:szCs w:val="22"/>
          <w:lang w:val="en-GB" w:eastAsia="fr-FR"/>
        </w:rPr>
        <w:t>REFERENCES</w:t>
      </w:r>
    </w:p>
    <w:p w14:paraId="6506C03F" w14:textId="77777777" w:rsidR="009F00CC" w:rsidRDefault="009F00CC" w:rsidP="00A4619E">
      <w:pPr>
        <w:jc w:val="both"/>
        <w:rPr>
          <w:sz w:val="22"/>
          <w:szCs w:val="22"/>
          <w:lang w:val="en-GB" w:eastAsia="fr-FR"/>
        </w:rPr>
      </w:pPr>
    </w:p>
    <w:p w14:paraId="7BC20056" w14:textId="77777777" w:rsidR="00192C3A" w:rsidRPr="00192C3A" w:rsidRDefault="00A4619E" w:rsidP="00192C3A">
      <w:pPr>
        <w:rPr>
          <w:bCs/>
          <w:lang w:val="en-GB" w:eastAsia="fr-FR"/>
        </w:rPr>
      </w:pPr>
      <w:r w:rsidRPr="00F45239">
        <w:rPr>
          <w:lang w:val="en-GB" w:eastAsia="fr-FR"/>
        </w:rPr>
        <w:t xml:space="preserve">[1] </w:t>
      </w:r>
      <w:proofErr w:type="spellStart"/>
      <w:r w:rsidR="00192C3A">
        <w:rPr>
          <w:lang w:val="en-GB" w:eastAsia="fr-FR"/>
        </w:rPr>
        <w:t>Altmaier</w:t>
      </w:r>
      <w:proofErr w:type="spellEnd"/>
      <w:r w:rsidR="00192C3A">
        <w:rPr>
          <w:lang w:val="en-GB" w:eastAsia="fr-FR"/>
        </w:rPr>
        <w:t xml:space="preserve">, M. </w:t>
      </w:r>
      <w:r w:rsidR="00192C3A" w:rsidRPr="00192C3A">
        <w:rPr>
          <w:i/>
          <w:lang w:val="en-GB" w:eastAsia="fr-FR"/>
        </w:rPr>
        <w:t>et al.</w:t>
      </w:r>
      <w:r w:rsidR="00192C3A">
        <w:rPr>
          <w:lang w:val="en-GB" w:eastAsia="fr-FR"/>
        </w:rPr>
        <w:t xml:space="preserve"> (2017). </w:t>
      </w:r>
      <w:r w:rsidR="00192C3A" w:rsidRPr="00192C3A">
        <w:rPr>
          <w:bCs/>
          <w:lang w:val="en-GB" w:eastAsia="fr-FR"/>
        </w:rPr>
        <w:t xml:space="preserve">“Solubility of U(VI) in chloride solutions. I. The stable oxides/hydroxides in </w:t>
      </w:r>
      <w:proofErr w:type="spellStart"/>
      <w:r w:rsidR="00192C3A" w:rsidRPr="00192C3A">
        <w:rPr>
          <w:bCs/>
          <w:lang w:val="en-GB" w:eastAsia="fr-FR"/>
        </w:rPr>
        <w:t>NaCl</w:t>
      </w:r>
      <w:proofErr w:type="spellEnd"/>
      <w:r w:rsidR="00192C3A" w:rsidRPr="00192C3A">
        <w:rPr>
          <w:bCs/>
          <w:lang w:val="en-GB" w:eastAsia="fr-FR"/>
        </w:rPr>
        <w:t xml:space="preserve"> systems, solubility products, hydrolysis constants and SIT coefficients</w:t>
      </w:r>
      <w:r w:rsidR="00192C3A">
        <w:rPr>
          <w:bCs/>
          <w:lang w:val="en-GB" w:eastAsia="fr-FR"/>
        </w:rPr>
        <w:t>”</w:t>
      </w:r>
      <w:r w:rsidR="00192C3A" w:rsidRPr="00192C3A">
        <w:rPr>
          <w:bCs/>
          <w:lang w:val="en-GB" w:eastAsia="fr-FR"/>
        </w:rPr>
        <w:t>. J. Chem. Therm. 114</w:t>
      </w:r>
      <w:r w:rsidR="00192C3A">
        <w:rPr>
          <w:bCs/>
          <w:lang w:val="en-GB" w:eastAsia="fr-FR"/>
        </w:rPr>
        <w:t>:</w:t>
      </w:r>
      <w:r w:rsidR="00192C3A" w:rsidRPr="00192C3A">
        <w:rPr>
          <w:bCs/>
          <w:lang w:val="en-GB" w:eastAsia="fr-FR"/>
        </w:rPr>
        <w:t xml:space="preserve"> 2-13.</w:t>
      </w:r>
    </w:p>
    <w:p w14:paraId="5C93DD26" w14:textId="77777777" w:rsidR="00192C3A" w:rsidRDefault="00192C3A" w:rsidP="00192C3A">
      <w:pPr>
        <w:rPr>
          <w:bCs/>
          <w:lang w:val="en-GB" w:eastAsia="fr-FR"/>
        </w:rPr>
      </w:pPr>
      <w:r>
        <w:rPr>
          <w:lang w:val="en-GB" w:eastAsia="fr-FR"/>
        </w:rPr>
        <w:t>[2</w:t>
      </w:r>
      <w:r w:rsidRPr="00F45239">
        <w:rPr>
          <w:lang w:val="en-GB" w:eastAsia="fr-FR"/>
        </w:rPr>
        <w:t>]</w:t>
      </w:r>
      <w:r w:rsidRPr="00192C3A">
        <w:rPr>
          <w:bCs/>
          <w:lang w:val="en-GB" w:eastAsia="fr-FR"/>
        </w:rPr>
        <w:t xml:space="preserve"> </w:t>
      </w:r>
      <w:proofErr w:type="spellStart"/>
      <w:r w:rsidRPr="00192C3A">
        <w:rPr>
          <w:bCs/>
          <w:lang w:val="en-GB" w:eastAsia="fr-FR"/>
        </w:rPr>
        <w:t>G</w:t>
      </w:r>
      <w:r>
        <w:rPr>
          <w:bCs/>
          <w:lang w:val="en-GB" w:eastAsia="fr-FR"/>
        </w:rPr>
        <w:t>aona</w:t>
      </w:r>
      <w:proofErr w:type="spellEnd"/>
      <w:r>
        <w:rPr>
          <w:bCs/>
          <w:lang w:val="en-GB" w:eastAsia="fr-FR"/>
        </w:rPr>
        <w:t xml:space="preserve">, X. </w:t>
      </w:r>
      <w:r w:rsidRPr="00192C3A">
        <w:rPr>
          <w:bCs/>
          <w:i/>
          <w:lang w:val="en-GB" w:eastAsia="fr-FR"/>
        </w:rPr>
        <w:t>et al.</w:t>
      </w:r>
      <w:r>
        <w:rPr>
          <w:bCs/>
          <w:lang w:val="en-GB" w:eastAsia="fr-FR"/>
        </w:rPr>
        <w:t xml:space="preserve"> (2013). </w:t>
      </w:r>
      <w:r w:rsidRPr="00192C3A">
        <w:rPr>
          <w:bCs/>
          <w:lang w:val="en-GB" w:eastAsia="fr-FR"/>
        </w:rPr>
        <w:t xml:space="preserve">“Thermodynamic description of Np(VI) solubility, hydrolysis, and redox </w:t>
      </w:r>
      <w:proofErr w:type="spellStart"/>
      <w:r w:rsidRPr="00192C3A">
        <w:rPr>
          <w:bCs/>
          <w:lang w:val="en-GB" w:eastAsia="fr-FR"/>
        </w:rPr>
        <w:t>behavior</w:t>
      </w:r>
      <w:proofErr w:type="spellEnd"/>
      <w:r w:rsidRPr="00192C3A">
        <w:rPr>
          <w:bCs/>
          <w:lang w:val="en-GB" w:eastAsia="fr-FR"/>
        </w:rPr>
        <w:t xml:space="preserve"> in dilute to concentrated alkaline </w:t>
      </w:r>
      <w:proofErr w:type="spellStart"/>
      <w:r w:rsidRPr="00192C3A">
        <w:rPr>
          <w:bCs/>
          <w:lang w:val="en-GB" w:eastAsia="fr-FR"/>
        </w:rPr>
        <w:t>NaCl</w:t>
      </w:r>
      <w:proofErr w:type="spellEnd"/>
      <w:r w:rsidRPr="00192C3A">
        <w:rPr>
          <w:bCs/>
          <w:lang w:val="en-GB" w:eastAsia="fr-FR"/>
        </w:rPr>
        <w:t xml:space="preserve"> solutions”, </w:t>
      </w:r>
      <w:r w:rsidRPr="00192C3A">
        <w:rPr>
          <w:bCs/>
          <w:iCs/>
          <w:lang w:val="en-GB" w:eastAsia="fr-FR"/>
        </w:rPr>
        <w:t>Pure Appl. Chem.</w:t>
      </w:r>
      <w:r w:rsidRPr="00192C3A">
        <w:rPr>
          <w:bCs/>
          <w:lang w:val="en-GB" w:eastAsia="fr-FR"/>
        </w:rPr>
        <w:t xml:space="preserve"> </w:t>
      </w:r>
      <w:r w:rsidRPr="00192C3A">
        <w:rPr>
          <w:lang w:val="en-GB" w:eastAsia="fr-FR"/>
        </w:rPr>
        <w:t>85</w:t>
      </w:r>
      <w:r>
        <w:rPr>
          <w:lang w:val="en-GB" w:eastAsia="fr-FR"/>
        </w:rPr>
        <w:t>:</w:t>
      </w:r>
      <w:r w:rsidRPr="00192C3A">
        <w:rPr>
          <w:bCs/>
          <w:lang w:val="en-GB" w:eastAsia="fr-FR"/>
        </w:rPr>
        <w:t xml:space="preserve"> 2027-2049.</w:t>
      </w:r>
    </w:p>
    <w:p w14:paraId="2F97E907" w14:textId="77777777" w:rsidR="00A91512" w:rsidRPr="00491BCE" w:rsidRDefault="00A91512" w:rsidP="00A91512">
      <w:pPr>
        <w:rPr>
          <w:bCs/>
          <w:lang w:val="en-US" w:eastAsia="fr-FR"/>
        </w:rPr>
      </w:pPr>
      <w:r w:rsidRPr="00F45239">
        <w:rPr>
          <w:lang w:val="en-GB" w:eastAsia="fr-FR"/>
        </w:rPr>
        <w:t>[</w:t>
      </w:r>
      <w:r>
        <w:rPr>
          <w:lang w:val="en-GB" w:eastAsia="fr-FR"/>
        </w:rPr>
        <w:t>3</w:t>
      </w:r>
      <w:r w:rsidRPr="00F45239">
        <w:rPr>
          <w:lang w:val="en-GB" w:eastAsia="fr-FR"/>
        </w:rPr>
        <w:t xml:space="preserve">] </w:t>
      </w:r>
      <w:proofErr w:type="spellStart"/>
      <w:r>
        <w:rPr>
          <w:lang w:val="en-GB" w:eastAsia="fr-FR"/>
        </w:rPr>
        <w:t>Altmaier</w:t>
      </w:r>
      <w:proofErr w:type="spellEnd"/>
      <w:r>
        <w:rPr>
          <w:lang w:val="en-GB" w:eastAsia="fr-FR"/>
        </w:rPr>
        <w:t xml:space="preserve">, M. </w:t>
      </w:r>
      <w:r w:rsidRPr="00192C3A">
        <w:rPr>
          <w:i/>
          <w:lang w:val="en-GB" w:eastAsia="fr-FR"/>
        </w:rPr>
        <w:t>et al.</w:t>
      </w:r>
      <w:r>
        <w:rPr>
          <w:lang w:val="en-GB" w:eastAsia="fr-FR"/>
        </w:rPr>
        <w:t xml:space="preserve"> (2005). </w:t>
      </w:r>
      <w:r w:rsidRPr="00192C3A">
        <w:rPr>
          <w:bCs/>
          <w:lang w:val="en-GB" w:eastAsia="fr-FR"/>
        </w:rPr>
        <w:t xml:space="preserve">“Solubility of U(VI) </w:t>
      </w:r>
      <w:r>
        <w:rPr>
          <w:bCs/>
          <w:lang w:val="en-GB" w:eastAsia="fr-FR"/>
        </w:rPr>
        <w:t>and formation of CaU</w:t>
      </w:r>
      <w:r w:rsidRPr="00A91512">
        <w:rPr>
          <w:bCs/>
          <w:vertAlign w:val="subscript"/>
          <w:lang w:val="en-GB" w:eastAsia="fr-FR"/>
        </w:rPr>
        <w:t>2</w:t>
      </w:r>
      <w:r>
        <w:rPr>
          <w:bCs/>
          <w:lang w:val="en-GB" w:eastAsia="fr-FR"/>
        </w:rPr>
        <w:t>O</w:t>
      </w:r>
      <w:r w:rsidRPr="00A91512">
        <w:rPr>
          <w:bCs/>
          <w:vertAlign w:val="subscript"/>
          <w:lang w:val="en-GB" w:eastAsia="fr-FR"/>
        </w:rPr>
        <w:t>7</w:t>
      </w:r>
      <w:r>
        <w:rPr>
          <w:bCs/>
          <w:lang w:val="en-GB" w:eastAsia="fr-FR"/>
        </w:rPr>
        <w:t>∙3H</w:t>
      </w:r>
      <w:r w:rsidRPr="00A91512">
        <w:rPr>
          <w:bCs/>
          <w:vertAlign w:val="subscript"/>
          <w:lang w:val="en-GB" w:eastAsia="fr-FR"/>
        </w:rPr>
        <w:t>2</w:t>
      </w:r>
      <w:r>
        <w:rPr>
          <w:bCs/>
          <w:lang w:val="en-GB" w:eastAsia="fr-FR"/>
        </w:rPr>
        <w:t>O(</w:t>
      </w:r>
      <w:proofErr w:type="spellStart"/>
      <w:r>
        <w:rPr>
          <w:bCs/>
          <w:lang w:val="en-GB" w:eastAsia="fr-FR"/>
        </w:rPr>
        <w:t>cr</w:t>
      </w:r>
      <w:proofErr w:type="spellEnd"/>
      <w:r>
        <w:rPr>
          <w:bCs/>
          <w:lang w:val="en-GB" w:eastAsia="fr-FR"/>
        </w:rPr>
        <w:t xml:space="preserve">) </w:t>
      </w:r>
      <w:r w:rsidRPr="00192C3A">
        <w:rPr>
          <w:bCs/>
          <w:lang w:val="en-GB" w:eastAsia="fr-FR"/>
        </w:rPr>
        <w:t xml:space="preserve">in </w:t>
      </w:r>
      <w:r>
        <w:rPr>
          <w:bCs/>
          <w:lang w:val="en-GB" w:eastAsia="fr-FR"/>
        </w:rPr>
        <w:t>alkaline CaCl</w:t>
      </w:r>
      <w:r w:rsidRPr="00A91512">
        <w:rPr>
          <w:bCs/>
          <w:vertAlign w:val="subscript"/>
          <w:lang w:val="en-GB" w:eastAsia="fr-FR"/>
        </w:rPr>
        <w:t>2</w:t>
      </w:r>
      <w:r>
        <w:rPr>
          <w:bCs/>
          <w:lang w:val="en-GB" w:eastAsia="fr-FR"/>
        </w:rPr>
        <w:t xml:space="preserve"> solutions”</w:t>
      </w:r>
      <w:r w:rsidRPr="00192C3A">
        <w:rPr>
          <w:bCs/>
          <w:lang w:val="en-GB" w:eastAsia="fr-FR"/>
        </w:rPr>
        <w:t xml:space="preserve">. </w:t>
      </w:r>
      <w:r w:rsidRPr="00491BCE">
        <w:rPr>
          <w:bCs/>
          <w:lang w:val="en-US" w:eastAsia="fr-FR"/>
        </w:rPr>
        <w:t>Abstract No. A1-3, Migration Conference Avignon (France) 2005.</w:t>
      </w:r>
    </w:p>
    <w:p w14:paraId="71D36C6F" w14:textId="77777777" w:rsidR="00A07832" w:rsidRDefault="00A07832" w:rsidP="00A07832">
      <w:pPr>
        <w:rPr>
          <w:bCs/>
          <w:lang w:val="en-GB" w:eastAsia="fr-FR"/>
        </w:rPr>
      </w:pPr>
      <w:r>
        <w:rPr>
          <w:lang w:val="en-GB" w:eastAsia="fr-FR"/>
        </w:rPr>
        <w:t>[4</w:t>
      </w:r>
      <w:r w:rsidRPr="00F45239">
        <w:rPr>
          <w:lang w:val="en-GB" w:eastAsia="fr-FR"/>
        </w:rPr>
        <w:t>]</w:t>
      </w:r>
      <w:r w:rsidRPr="00192C3A">
        <w:rPr>
          <w:bCs/>
          <w:lang w:val="en-GB" w:eastAsia="fr-FR"/>
        </w:rPr>
        <w:t xml:space="preserve"> </w:t>
      </w:r>
      <w:proofErr w:type="spellStart"/>
      <w:r>
        <w:rPr>
          <w:bCs/>
          <w:lang w:val="en-GB" w:eastAsia="fr-FR"/>
        </w:rPr>
        <w:t>Fellhauer</w:t>
      </w:r>
      <w:proofErr w:type="spellEnd"/>
      <w:r>
        <w:rPr>
          <w:bCs/>
          <w:lang w:val="en-GB" w:eastAsia="fr-FR"/>
        </w:rPr>
        <w:t xml:space="preserve">, D. </w:t>
      </w:r>
      <w:r w:rsidRPr="00192C3A">
        <w:rPr>
          <w:bCs/>
          <w:i/>
          <w:lang w:val="en-GB" w:eastAsia="fr-FR"/>
        </w:rPr>
        <w:t>et al.</w:t>
      </w:r>
      <w:r>
        <w:rPr>
          <w:bCs/>
          <w:lang w:val="en-GB" w:eastAsia="fr-FR"/>
        </w:rPr>
        <w:t xml:space="preserve"> (2018). </w:t>
      </w:r>
      <w:r w:rsidRPr="00192C3A">
        <w:rPr>
          <w:bCs/>
          <w:lang w:val="en-GB" w:eastAsia="fr-FR"/>
        </w:rPr>
        <w:t>“</w:t>
      </w:r>
      <w:r>
        <w:rPr>
          <w:bCs/>
          <w:lang w:val="en-GB" w:eastAsia="fr-FR"/>
        </w:rPr>
        <w:t>Neptunium(VI) solubility in alkaline CaCl</w:t>
      </w:r>
      <w:r w:rsidRPr="00A07832">
        <w:rPr>
          <w:bCs/>
          <w:vertAlign w:val="subscript"/>
          <w:lang w:val="en-GB" w:eastAsia="fr-FR"/>
        </w:rPr>
        <w:t>2</w:t>
      </w:r>
      <w:r>
        <w:rPr>
          <w:bCs/>
          <w:lang w:val="en-GB" w:eastAsia="fr-FR"/>
        </w:rPr>
        <w:t xml:space="preserve"> solutions: evidence for the formation of calcium </w:t>
      </w:r>
      <w:proofErr w:type="spellStart"/>
      <w:r>
        <w:rPr>
          <w:bCs/>
          <w:lang w:val="en-GB" w:eastAsia="fr-FR"/>
        </w:rPr>
        <w:t>neptunates</w:t>
      </w:r>
      <w:proofErr w:type="spellEnd"/>
      <w:r>
        <w:rPr>
          <w:bCs/>
          <w:lang w:val="en-GB" w:eastAsia="fr-FR"/>
        </w:rPr>
        <w:t xml:space="preserve"> Ca</w:t>
      </w:r>
      <w:r w:rsidRPr="00A07832">
        <w:rPr>
          <w:bCs/>
          <w:vertAlign w:val="subscript"/>
          <w:lang w:val="en-GB" w:eastAsia="fr-FR"/>
        </w:rPr>
        <w:t>x</w:t>
      </w:r>
      <w:r>
        <w:rPr>
          <w:bCs/>
          <w:lang w:val="en-GB" w:eastAsia="fr-FR"/>
        </w:rPr>
        <w:t>NpO</w:t>
      </w:r>
      <w:r w:rsidRPr="00A07832">
        <w:rPr>
          <w:bCs/>
          <w:vertAlign w:val="subscript"/>
          <w:lang w:val="en-GB" w:eastAsia="fr-FR"/>
        </w:rPr>
        <w:t>3+x</w:t>
      </w:r>
      <w:r>
        <w:rPr>
          <w:bCs/>
          <w:lang w:val="en-GB" w:eastAsia="fr-FR"/>
        </w:rPr>
        <w:t>(</w:t>
      </w:r>
      <w:proofErr w:type="spellStart"/>
      <w:r>
        <w:rPr>
          <w:bCs/>
          <w:lang w:val="en-GB" w:eastAsia="fr-FR"/>
        </w:rPr>
        <w:t>s,hyd</w:t>
      </w:r>
      <w:proofErr w:type="spellEnd"/>
      <w:r>
        <w:rPr>
          <w:bCs/>
          <w:lang w:val="en-GB" w:eastAsia="fr-FR"/>
        </w:rPr>
        <w:t>)</w:t>
      </w:r>
      <w:r w:rsidRPr="00192C3A">
        <w:rPr>
          <w:bCs/>
          <w:lang w:val="en-GB" w:eastAsia="fr-FR"/>
        </w:rPr>
        <w:t xml:space="preserve">”, </w:t>
      </w:r>
      <w:proofErr w:type="spellStart"/>
      <w:r>
        <w:rPr>
          <w:bCs/>
          <w:lang w:val="en-GB" w:eastAsia="fr-FR"/>
        </w:rPr>
        <w:t>Monatshefte</w:t>
      </w:r>
      <w:proofErr w:type="spellEnd"/>
      <w:r>
        <w:rPr>
          <w:bCs/>
          <w:lang w:val="en-GB" w:eastAsia="fr-FR"/>
        </w:rPr>
        <w:t xml:space="preserve"> </w:t>
      </w:r>
      <w:proofErr w:type="spellStart"/>
      <w:r>
        <w:rPr>
          <w:bCs/>
          <w:lang w:val="en-GB" w:eastAsia="fr-FR"/>
        </w:rPr>
        <w:t>für</w:t>
      </w:r>
      <w:proofErr w:type="spellEnd"/>
      <w:r>
        <w:rPr>
          <w:bCs/>
          <w:lang w:val="en-GB" w:eastAsia="fr-FR"/>
        </w:rPr>
        <w:t xml:space="preserve"> </w:t>
      </w:r>
      <w:proofErr w:type="spellStart"/>
      <w:r>
        <w:rPr>
          <w:bCs/>
          <w:lang w:val="en-GB" w:eastAsia="fr-FR"/>
        </w:rPr>
        <w:t>Chemie</w:t>
      </w:r>
      <w:proofErr w:type="spellEnd"/>
      <w:r>
        <w:rPr>
          <w:bCs/>
          <w:lang w:val="en-GB" w:eastAsia="fr-FR"/>
        </w:rPr>
        <w:t xml:space="preserve"> – Chemical Monthly 149</w:t>
      </w:r>
      <w:r>
        <w:rPr>
          <w:lang w:val="en-GB" w:eastAsia="fr-FR"/>
        </w:rPr>
        <w:t>:</w:t>
      </w:r>
      <w:r w:rsidRPr="00192C3A">
        <w:rPr>
          <w:bCs/>
          <w:lang w:val="en-GB" w:eastAsia="fr-FR"/>
        </w:rPr>
        <w:t xml:space="preserve"> </w:t>
      </w:r>
      <w:r>
        <w:rPr>
          <w:bCs/>
          <w:lang w:val="en-GB" w:eastAsia="fr-FR"/>
        </w:rPr>
        <w:t>237</w:t>
      </w:r>
      <w:r w:rsidRPr="00192C3A">
        <w:rPr>
          <w:bCs/>
          <w:lang w:val="en-GB" w:eastAsia="fr-FR"/>
        </w:rPr>
        <w:t>-</w:t>
      </w:r>
      <w:r>
        <w:rPr>
          <w:bCs/>
          <w:lang w:val="en-GB" w:eastAsia="fr-FR"/>
        </w:rPr>
        <w:t>252</w:t>
      </w:r>
      <w:r w:rsidRPr="00192C3A">
        <w:rPr>
          <w:bCs/>
          <w:lang w:val="en-GB" w:eastAsia="fr-FR"/>
        </w:rPr>
        <w:t>.</w:t>
      </w:r>
    </w:p>
    <w:p w14:paraId="6D7E56A5" w14:textId="5386197D" w:rsidR="00A91512" w:rsidRPr="00A91512" w:rsidRDefault="00A91512" w:rsidP="00192C3A">
      <w:pPr>
        <w:rPr>
          <w:bCs/>
          <w:lang w:eastAsia="fr-FR"/>
        </w:rPr>
      </w:pPr>
      <w:r w:rsidRPr="00491BCE">
        <w:rPr>
          <w:lang w:eastAsia="fr-FR"/>
        </w:rPr>
        <w:t>[</w:t>
      </w:r>
      <w:r w:rsidR="00A07832" w:rsidRPr="00491BCE">
        <w:rPr>
          <w:lang w:eastAsia="fr-FR"/>
        </w:rPr>
        <w:t>5</w:t>
      </w:r>
      <w:r w:rsidRPr="00491BCE">
        <w:rPr>
          <w:lang w:eastAsia="fr-FR"/>
        </w:rPr>
        <w:t xml:space="preserve">] </w:t>
      </w:r>
      <w:proofErr w:type="spellStart"/>
      <w:r w:rsidRPr="00491BCE">
        <w:rPr>
          <w:lang w:eastAsia="fr-FR"/>
        </w:rPr>
        <w:t>Pashalidis</w:t>
      </w:r>
      <w:proofErr w:type="spellEnd"/>
      <w:r w:rsidRPr="00491BCE">
        <w:rPr>
          <w:lang w:eastAsia="fr-FR"/>
        </w:rPr>
        <w:t xml:space="preserve">, I. (1992). </w:t>
      </w:r>
      <w:r w:rsidRPr="00A91512">
        <w:rPr>
          <w:bCs/>
          <w:lang w:eastAsia="fr-FR"/>
        </w:rPr>
        <w:t xml:space="preserve">“Chemisches Verhalten des sechswertigen Plutoniums in  konzentrierten NaCl-Lösungen unter dem </w:t>
      </w:r>
      <w:proofErr w:type="spellStart"/>
      <w:r w:rsidRPr="00A91512">
        <w:rPr>
          <w:bCs/>
          <w:lang w:eastAsia="fr-FR"/>
        </w:rPr>
        <w:t>Einfluß</w:t>
      </w:r>
      <w:proofErr w:type="spellEnd"/>
      <w:r w:rsidRPr="00A91512">
        <w:rPr>
          <w:bCs/>
          <w:lang w:eastAsia="fr-FR"/>
        </w:rPr>
        <w:t xml:space="preserve"> der eigenen Alpha-Strahlung”. Bericht 01092, Institut für Radiochemie, Technische Universität München (1992).</w:t>
      </w:r>
    </w:p>
    <w:sectPr w:rsidR="00A91512" w:rsidRPr="00A91512" w:rsidSect="006950F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495E" w14:textId="77777777" w:rsidR="00913F2A" w:rsidRDefault="00913F2A" w:rsidP="005A2B46">
      <w:r>
        <w:separator/>
      </w:r>
    </w:p>
  </w:endnote>
  <w:endnote w:type="continuationSeparator" w:id="0">
    <w:p w14:paraId="068D9D51" w14:textId="77777777" w:rsidR="00913F2A" w:rsidRDefault="00913F2A" w:rsidP="005A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0016" w14:textId="77777777" w:rsidR="00913F2A" w:rsidRDefault="00913F2A" w:rsidP="005A2B46">
      <w:r>
        <w:separator/>
      </w:r>
    </w:p>
  </w:footnote>
  <w:footnote w:type="continuationSeparator" w:id="0">
    <w:p w14:paraId="4D905589" w14:textId="77777777" w:rsidR="00913F2A" w:rsidRDefault="00913F2A" w:rsidP="005A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EF3F" w14:textId="59F8932D" w:rsidR="000A5AA8" w:rsidRPr="009F00CC" w:rsidRDefault="009F00CC">
    <w:pPr>
      <w:pStyle w:val="a3"/>
      <w:rPr>
        <w:rFonts w:ascii="Times New Roman"/>
        <w:szCs w:val="20"/>
      </w:rPr>
    </w:pPr>
    <w:r w:rsidRPr="009F00CC">
      <w:rPr>
        <w:rFonts w:ascii="Times New Roman" w:eastAsia="Calibri"/>
        <w:color w:val="000000"/>
        <w:szCs w:val="20"/>
      </w:rPr>
      <w:t>ABC-Salt VI Workshop 2019</w:t>
    </w:r>
    <w:r w:rsidRPr="009F00CC">
      <w:rPr>
        <w:rFonts w:ascii="Times New Roman" w:eastAsia="Calibri"/>
        <w:color w:val="000000" w:themeColor="text1"/>
        <w:kern w:val="0"/>
        <w:szCs w:val="20"/>
        <w:lang w:eastAsia="de-DE"/>
      </w:rPr>
      <w:ptab w:relativeTo="margin" w:alignment="center" w:leader="none"/>
    </w:r>
    <w:r w:rsidRPr="009F00CC">
      <w:rPr>
        <w:rFonts w:ascii="Times New Roman" w:eastAsia="Calibri"/>
        <w:color w:val="000000"/>
        <w:szCs w:val="20"/>
      </w:rPr>
      <w:t>Actinide Brine Chemistry</w:t>
    </w:r>
    <w:r w:rsidRPr="009F00CC">
      <w:rPr>
        <w:rFonts w:ascii="Times New Roman" w:eastAsia="Calibri"/>
        <w:color w:val="000000" w:themeColor="text1"/>
        <w:kern w:val="0"/>
        <w:szCs w:val="20"/>
        <w:lang w:eastAsia="de-DE"/>
      </w:rPr>
      <w:ptab w:relativeTo="margin" w:alignment="right" w:leader="none"/>
    </w:r>
    <w:r w:rsidRPr="009F00CC">
      <w:rPr>
        <w:rFonts w:ascii="Times New Roman" w:eastAsia="Calibri"/>
        <w:color w:val="000000"/>
        <w:szCs w:val="20"/>
      </w:rPr>
      <w:t>Karlsruhe, 25</w:t>
    </w:r>
    <w:proofErr w:type="spellStart"/>
    <w:r w:rsidRPr="009F00CC">
      <w:rPr>
        <w:rFonts w:ascii="Times New Roman" w:eastAsia="Calibri"/>
        <w:color w:val="000000"/>
        <w:position w:val="10"/>
        <w:szCs w:val="20"/>
      </w:rPr>
      <w:t>th</w:t>
    </w:r>
    <w:proofErr w:type="spellEnd"/>
    <w:r w:rsidRPr="009F00CC">
      <w:rPr>
        <w:rFonts w:ascii="Times New Roman" w:eastAsia="Calibri"/>
        <w:color w:val="000000"/>
        <w:position w:val="10"/>
        <w:szCs w:val="20"/>
      </w:rPr>
      <w:t xml:space="preserve"> </w:t>
    </w:r>
    <w:r w:rsidRPr="009F00CC">
      <w:rPr>
        <w:rFonts w:ascii="Times New Roman" w:eastAsia="Calibri"/>
        <w:color w:val="000000"/>
        <w:szCs w:val="20"/>
      </w:rPr>
      <w:t>+ 26</w:t>
    </w:r>
    <w:proofErr w:type="spellStart"/>
    <w:r w:rsidRPr="009F00CC">
      <w:rPr>
        <w:rFonts w:ascii="Times New Roman" w:eastAsia="Calibri"/>
        <w:color w:val="000000"/>
        <w:position w:val="10"/>
        <w:szCs w:val="20"/>
      </w:rPr>
      <w:t>th</w:t>
    </w:r>
    <w:proofErr w:type="spellEnd"/>
    <w:r w:rsidRPr="009F00CC">
      <w:rPr>
        <w:rFonts w:ascii="Times New Roman" w:eastAsia="Calibri"/>
        <w:color w:val="000000"/>
        <w:position w:val="10"/>
        <w:szCs w:val="20"/>
      </w:rPr>
      <w:t xml:space="preserve"> </w:t>
    </w:r>
    <w:r w:rsidRPr="009F00CC">
      <w:rPr>
        <w:rFonts w:ascii="Times New Roman" w:eastAsia="Calibri"/>
        <w:color w:val="000000"/>
        <w:szCs w:val="20"/>
      </w:rPr>
      <w:t>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53E"/>
    <w:multiLevelType w:val="hybridMultilevel"/>
    <w:tmpl w:val="B3CC3AB6"/>
    <w:lvl w:ilvl="0" w:tplc="DA6276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5D87"/>
    <w:multiLevelType w:val="hybridMultilevel"/>
    <w:tmpl w:val="00088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238E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FC241D"/>
    <w:multiLevelType w:val="hybridMultilevel"/>
    <w:tmpl w:val="44E8FC7C"/>
    <w:lvl w:ilvl="0" w:tplc="E750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Radiochimica Act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zzxtta12dfvheatdqv92582x9rr0rv2dsw&quot;&gt;Literature_References&lt;record-ids&gt;&lt;item&gt;1&lt;/item&gt;&lt;item&gt;14&lt;/item&gt;&lt;item&gt;127&lt;/item&gt;&lt;item&gt;547&lt;/item&gt;&lt;/record-ids&gt;&lt;/item&gt;&lt;/Libraries&gt;"/>
  </w:docVars>
  <w:rsids>
    <w:rsidRoot w:val="00A06814"/>
    <w:rsid w:val="0002670D"/>
    <w:rsid w:val="00043245"/>
    <w:rsid w:val="00076D87"/>
    <w:rsid w:val="00095C41"/>
    <w:rsid w:val="000A28AD"/>
    <w:rsid w:val="000A5AA8"/>
    <w:rsid w:val="000A67B8"/>
    <w:rsid w:val="000C60CE"/>
    <w:rsid w:val="000C622C"/>
    <w:rsid w:val="000D59C4"/>
    <w:rsid w:val="000D59DF"/>
    <w:rsid w:val="000F7B57"/>
    <w:rsid w:val="00122423"/>
    <w:rsid w:val="00124AEE"/>
    <w:rsid w:val="00146646"/>
    <w:rsid w:val="00161548"/>
    <w:rsid w:val="00184AB0"/>
    <w:rsid w:val="00192C3A"/>
    <w:rsid w:val="00196766"/>
    <w:rsid w:val="001A0D32"/>
    <w:rsid w:val="001A53A4"/>
    <w:rsid w:val="001A7A92"/>
    <w:rsid w:val="001C0761"/>
    <w:rsid w:val="001D21FC"/>
    <w:rsid w:val="001D58A6"/>
    <w:rsid w:val="00201342"/>
    <w:rsid w:val="002561E3"/>
    <w:rsid w:val="00284991"/>
    <w:rsid w:val="00286EC2"/>
    <w:rsid w:val="00287A13"/>
    <w:rsid w:val="002A7CD4"/>
    <w:rsid w:val="002C64F4"/>
    <w:rsid w:val="002E57B4"/>
    <w:rsid w:val="002F197C"/>
    <w:rsid w:val="002F7B00"/>
    <w:rsid w:val="00307C2A"/>
    <w:rsid w:val="00322E6B"/>
    <w:rsid w:val="003264FF"/>
    <w:rsid w:val="00330B64"/>
    <w:rsid w:val="00335A38"/>
    <w:rsid w:val="00335F41"/>
    <w:rsid w:val="00345332"/>
    <w:rsid w:val="00361C83"/>
    <w:rsid w:val="00364A63"/>
    <w:rsid w:val="00366F47"/>
    <w:rsid w:val="003926CB"/>
    <w:rsid w:val="003936A7"/>
    <w:rsid w:val="003B6BAF"/>
    <w:rsid w:val="003C06EE"/>
    <w:rsid w:val="003C35DB"/>
    <w:rsid w:val="003D03A7"/>
    <w:rsid w:val="003F1F27"/>
    <w:rsid w:val="003F7F31"/>
    <w:rsid w:val="00404302"/>
    <w:rsid w:val="00413B25"/>
    <w:rsid w:val="00417F16"/>
    <w:rsid w:val="00432C40"/>
    <w:rsid w:val="00445AE1"/>
    <w:rsid w:val="00463371"/>
    <w:rsid w:val="004659CC"/>
    <w:rsid w:val="00481C31"/>
    <w:rsid w:val="00491BCE"/>
    <w:rsid w:val="004C426E"/>
    <w:rsid w:val="004E62D8"/>
    <w:rsid w:val="004E7093"/>
    <w:rsid w:val="004F6749"/>
    <w:rsid w:val="004F6A34"/>
    <w:rsid w:val="00515951"/>
    <w:rsid w:val="00525DDF"/>
    <w:rsid w:val="00526650"/>
    <w:rsid w:val="00531EAE"/>
    <w:rsid w:val="00540BEA"/>
    <w:rsid w:val="00560702"/>
    <w:rsid w:val="00562B38"/>
    <w:rsid w:val="0056524B"/>
    <w:rsid w:val="00586AED"/>
    <w:rsid w:val="00590C56"/>
    <w:rsid w:val="005A1BCF"/>
    <w:rsid w:val="005A2B46"/>
    <w:rsid w:val="005A6115"/>
    <w:rsid w:val="005C1150"/>
    <w:rsid w:val="005D5910"/>
    <w:rsid w:val="005E11EA"/>
    <w:rsid w:val="005E352B"/>
    <w:rsid w:val="005F5D3D"/>
    <w:rsid w:val="0060635C"/>
    <w:rsid w:val="0061169E"/>
    <w:rsid w:val="006247ED"/>
    <w:rsid w:val="00624E7A"/>
    <w:rsid w:val="00663313"/>
    <w:rsid w:val="00663EC5"/>
    <w:rsid w:val="0068774D"/>
    <w:rsid w:val="0069400B"/>
    <w:rsid w:val="006947D3"/>
    <w:rsid w:val="006950F4"/>
    <w:rsid w:val="007054E6"/>
    <w:rsid w:val="00711F31"/>
    <w:rsid w:val="00721843"/>
    <w:rsid w:val="00766ECD"/>
    <w:rsid w:val="007750B8"/>
    <w:rsid w:val="00787B98"/>
    <w:rsid w:val="00791252"/>
    <w:rsid w:val="007B40B9"/>
    <w:rsid w:val="007D008A"/>
    <w:rsid w:val="007D1644"/>
    <w:rsid w:val="007D43C1"/>
    <w:rsid w:val="00837E18"/>
    <w:rsid w:val="00874307"/>
    <w:rsid w:val="008771D7"/>
    <w:rsid w:val="0087754B"/>
    <w:rsid w:val="00883A03"/>
    <w:rsid w:val="00891422"/>
    <w:rsid w:val="00893710"/>
    <w:rsid w:val="008D3384"/>
    <w:rsid w:val="008E2B46"/>
    <w:rsid w:val="008E3453"/>
    <w:rsid w:val="008E49B3"/>
    <w:rsid w:val="0090065B"/>
    <w:rsid w:val="00911993"/>
    <w:rsid w:val="00913F2A"/>
    <w:rsid w:val="00937713"/>
    <w:rsid w:val="00950492"/>
    <w:rsid w:val="00954AA1"/>
    <w:rsid w:val="00955C81"/>
    <w:rsid w:val="009574FD"/>
    <w:rsid w:val="009575B7"/>
    <w:rsid w:val="0097717D"/>
    <w:rsid w:val="00987B61"/>
    <w:rsid w:val="0099358A"/>
    <w:rsid w:val="009B4E09"/>
    <w:rsid w:val="009E5974"/>
    <w:rsid w:val="009F00CC"/>
    <w:rsid w:val="00A06814"/>
    <w:rsid w:val="00A07832"/>
    <w:rsid w:val="00A21C33"/>
    <w:rsid w:val="00A4619E"/>
    <w:rsid w:val="00A85FD7"/>
    <w:rsid w:val="00A91512"/>
    <w:rsid w:val="00AA7721"/>
    <w:rsid w:val="00AB2A6F"/>
    <w:rsid w:val="00AB6E57"/>
    <w:rsid w:val="00AD166C"/>
    <w:rsid w:val="00AE2EA6"/>
    <w:rsid w:val="00AE6B64"/>
    <w:rsid w:val="00AE72FA"/>
    <w:rsid w:val="00AF02EE"/>
    <w:rsid w:val="00AF225F"/>
    <w:rsid w:val="00AF419E"/>
    <w:rsid w:val="00AF7D41"/>
    <w:rsid w:val="00B22EDC"/>
    <w:rsid w:val="00B27B99"/>
    <w:rsid w:val="00B35F03"/>
    <w:rsid w:val="00B412D0"/>
    <w:rsid w:val="00B50E08"/>
    <w:rsid w:val="00B54239"/>
    <w:rsid w:val="00B84F52"/>
    <w:rsid w:val="00B87AAC"/>
    <w:rsid w:val="00B916AA"/>
    <w:rsid w:val="00BA797F"/>
    <w:rsid w:val="00BB0718"/>
    <w:rsid w:val="00BB2507"/>
    <w:rsid w:val="00C132A7"/>
    <w:rsid w:val="00C16ED7"/>
    <w:rsid w:val="00C359C8"/>
    <w:rsid w:val="00C44AF6"/>
    <w:rsid w:val="00C63351"/>
    <w:rsid w:val="00C7218D"/>
    <w:rsid w:val="00C80DC5"/>
    <w:rsid w:val="00CA1C3C"/>
    <w:rsid w:val="00CA4E57"/>
    <w:rsid w:val="00D151FE"/>
    <w:rsid w:val="00D37EE7"/>
    <w:rsid w:val="00D60807"/>
    <w:rsid w:val="00D6222B"/>
    <w:rsid w:val="00D639E5"/>
    <w:rsid w:val="00D63C14"/>
    <w:rsid w:val="00D8593A"/>
    <w:rsid w:val="00D914F8"/>
    <w:rsid w:val="00DD4306"/>
    <w:rsid w:val="00DE5DA2"/>
    <w:rsid w:val="00DF3D0B"/>
    <w:rsid w:val="00DF41F8"/>
    <w:rsid w:val="00DF6CF2"/>
    <w:rsid w:val="00E11DC5"/>
    <w:rsid w:val="00E27497"/>
    <w:rsid w:val="00EA0AB3"/>
    <w:rsid w:val="00EE32EF"/>
    <w:rsid w:val="00EE3BBC"/>
    <w:rsid w:val="00EE7840"/>
    <w:rsid w:val="00EF5793"/>
    <w:rsid w:val="00EF7874"/>
    <w:rsid w:val="00F03FFB"/>
    <w:rsid w:val="00F2114F"/>
    <w:rsid w:val="00F3038B"/>
    <w:rsid w:val="00F4371E"/>
    <w:rsid w:val="00FA5BCD"/>
    <w:rsid w:val="00FD6784"/>
    <w:rsid w:val="00FE2DCB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E3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81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0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0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06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F00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681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a3">
    <w:name w:val="header"/>
    <w:aliases w:val="auteurs_migration05"/>
    <w:basedOn w:val="a"/>
    <w:link w:val="a4"/>
    <w:rsid w:val="00A06814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Batang" w:eastAsia="Batang"/>
      <w:kern w:val="2"/>
      <w:sz w:val="20"/>
      <w:lang w:val="en-US" w:eastAsia="ko-KR"/>
    </w:rPr>
  </w:style>
  <w:style w:type="character" w:customStyle="1" w:styleId="a4">
    <w:name w:val="Верхний колонтитул Знак"/>
    <w:aliases w:val="auteurs_migration05 Знак"/>
    <w:link w:val="a3"/>
    <w:rsid w:val="00A06814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styleId="a5">
    <w:name w:val="Body Text Indent"/>
    <w:basedOn w:val="a"/>
    <w:link w:val="a6"/>
    <w:rsid w:val="00A06814"/>
    <w:pPr>
      <w:ind w:firstLine="357"/>
    </w:pPr>
    <w:rPr>
      <w:lang w:val="en-GB"/>
    </w:rPr>
  </w:style>
  <w:style w:type="character" w:customStyle="1" w:styleId="a6">
    <w:name w:val="Основной текст с отступом Знак"/>
    <w:link w:val="a5"/>
    <w:rsid w:val="00A0681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titre1">
    <w:name w:val="titre 1"/>
    <w:basedOn w:val="a"/>
    <w:rsid w:val="00A06814"/>
    <w:pPr>
      <w:spacing w:before="480" w:after="240"/>
    </w:pPr>
    <w:rPr>
      <w:b/>
      <w:sz w:val="22"/>
      <w:szCs w:val="20"/>
      <w:lang w:val="fr-FR" w:eastAsia="fr-FR"/>
    </w:rPr>
  </w:style>
  <w:style w:type="paragraph" w:customStyle="1" w:styleId="paragraphe">
    <w:name w:val="paragraphe"/>
    <w:basedOn w:val="a"/>
    <w:rsid w:val="00A06814"/>
    <w:pPr>
      <w:ind w:firstLine="425"/>
      <w:jc w:val="both"/>
    </w:pPr>
    <w:rPr>
      <w:sz w:val="22"/>
      <w:szCs w:val="20"/>
      <w:lang w:val="fr-FR" w:eastAsia="fr-FR"/>
    </w:rPr>
  </w:style>
  <w:style w:type="paragraph" w:styleId="a7">
    <w:name w:val="Balloon Text"/>
    <w:basedOn w:val="a"/>
    <w:link w:val="a8"/>
    <w:uiPriority w:val="99"/>
    <w:semiHidden/>
    <w:unhideWhenUsed/>
    <w:rsid w:val="00A06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6814"/>
    <w:rPr>
      <w:rFonts w:ascii="Tahoma" w:eastAsia="Times New Roman" w:hAnsi="Tahoma" w:cs="Tahoma"/>
      <w:sz w:val="16"/>
      <w:szCs w:val="16"/>
      <w:lang w:eastAsia="de-DE"/>
    </w:rPr>
  </w:style>
  <w:style w:type="paragraph" w:styleId="a9">
    <w:name w:val="footer"/>
    <w:basedOn w:val="a"/>
    <w:link w:val="aa"/>
    <w:uiPriority w:val="99"/>
    <w:unhideWhenUsed/>
    <w:rsid w:val="005A2B46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rsid w:val="005A2B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a"/>
    <w:link w:val="EndNoteBibliographyTitleChar"/>
    <w:rsid w:val="003926C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3926CB"/>
    <w:rPr>
      <w:rFonts w:ascii="Times New Roman" w:eastAsia="Times New Roman" w:hAnsi="Times New Roman" w:cs="Times New Roman"/>
      <w:noProof/>
      <w:sz w:val="24"/>
      <w:szCs w:val="24"/>
      <w:lang w:val="de-DE" w:eastAsia="de-DE"/>
    </w:rPr>
  </w:style>
  <w:style w:type="paragraph" w:customStyle="1" w:styleId="EndNoteBibliography">
    <w:name w:val="EndNote Bibliography"/>
    <w:basedOn w:val="a"/>
    <w:link w:val="EndNoteBibliographyChar"/>
    <w:rsid w:val="003926CB"/>
    <w:rPr>
      <w:noProof/>
    </w:rPr>
  </w:style>
  <w:style w:type="character" w:customStyle="1" w:styleId="EndNoteBibliographyChar">
    <w:name w:val="EndNote Bibliography Char"/>
    <w:link w:val="EndNoteBibliography"/>
    <w:rsid w:val="003926CB"/>
    <w:rPr>
      <w:rFonts w:ascii="Times New Roman" w:eastAsia="Times New Roman" w:hAnsi="Times New Roman" w:cs="Times New Roman"/>
      <w:noProof/>
      <w:sz w:val="24"/>
      <w:szCs w:val="24"/>
      <w:lang w:val="de-DE" w:eastAsia="de-DE"/>
    </w:rPr>
  </w:style>
  <w:style w:type="paragraph" w:styleId="ab">
    <w:name w:val="List Paragraph"/>
    <w:basedOn w:val="a"/>
    <w:uiPriority w:val="34"/>
    <w:qFormat/>
    <w:rsid w:val="003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zh-TW"/>
    </w:rPr>
  </w:style>
  <w:style w:type="paragraph" w:styleId="ac">
    <w:name w:val="Normal (Web)"/>
    <w:basedOn w:val="a"/>
    <w:uiPriority w:val="99"/>
    <w:semiHidden/>
    <w:unhideWhenUsed/>
    <w:rsid w:val="000A67B8"/>
    <w:pPr>
      <w:spacing w:before="100" w:beforeAutospacing="1" w:after="100" w:afterAutospacing="1"/>
    </w:pPr>
  </w:style>
  <w:style w:type="character" w:styleId="ad">
    <w:name w:val="annotation reference"/>
    <w:uiPriority w:val="99"/>
    <w:semiHidden/>
    <w:unhideWhenUsed/>
    <w:rsid w:val="00366F4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66F4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366F47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F4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66F47"/>
    <w:rPr>
      <w:rFonts w:ascii="Times New Roman" w:eastAsia="Times New Roman" w:hAnsi="Times New Roman" w:cs="Times New Roman"/>
      <w:b/>
      <w:bCs/>
    </w:rPr>
  </w:style>
  <w:style w:type="table" w:styleId="af2">
    <w:name w:val="Table Grid"/>
    <w:basedOn w:val="a1"/>
    <w:uiPriority w:val="59"/>
    <w:rsid w:val="000A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9F00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9F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No Spacing"/>
    <w:uiPriority w:val="1"/>
    <w:qFormat/>
    <w:rsid w:val="009F00C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0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00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00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9F00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9F00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8">
    <w:name w:val="Subtle Emphasis"/>
    <w:basedOn w:val="a0"/>
    <w:uiPriority w:val="19"/>
    <w:qFormat/>
    <w:rsid w:val="009F00CC"/>
    <w:rPr>
      <w:i/>
      <w:iCs/>
      <w:color w:val="404040" w:themeColor="text1" w:themeTint="BF"/>
    </w:rPr>
  </w:style>
  <w:style w:type="character" w:styleId="af9">
    <w:name w:val="Strong"/>
    <w:basedOn w:val="a0"/>
    <w:uiPriority w:val="22"/>
    <w:qFormat/>
    <w:rsid w:val="009F00CC"/>
    <w:rPr>
      <w:b/>
      <w:bCs/>
    </w:rPr>
  </w:style>
  <w:style w:type="character" w:styleId="afa">
    <w:name w:val="Emphasis"/>
    <w:basedOn w:val="a0"/>
    <w:uiPriority w:val="20"/>
    <w:qFormat/>
    <w:rsid w:val="009F00CC"/>
    <w:rPr>
      <w:i/>
      <w:iCs/>
    </w:rPr>
  </w:style>
  <w:style w:type="character" w:styleId="afb">
    <w:name w:val="Intense Emphasis"/>
    <w:basedOn w:val="a0"/>
    <w:uiPriority w:val="21"/>
    <w:qFormat/>
    <w:rsid w:val="009F00C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BA0F-0439-2B48-A8DF-431D2E0F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2019-05-15T13:17:00Z</dcterms:created>
  <dcterms:modified xsi:type="dcterms:W3CDTF">2020-02-06T15:13:00Z</dcterms:modified>
</cp:coreProperties>
</file>