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Болезнь Паркинсона (БП) – второе в мире по распространенности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нейродегенеративное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заболевание, зачастую приводящее к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инвалидизации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значительному снижению качества жизни.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снижения тяжести симптомов используется медикаментозная терапия, в частности, препарат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предшественник дофамина. Если медикаментозная терапия не дает удовлетворительный эффект (при длительном приеме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часто как побочный эффект развиваются т.н. лекарственные дискинезии – непроизвольные движения, – которые не корректируются препаратами, а наоборот, усиливаются на фоне лекарств), единственным доступным на сегодня способом облегчения симптомов остается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deep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brain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stimulation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глубинная стимуляция мозга). Электроды для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устанавливаются в подкорковые ядра в системе базальных ганглиев – бледный шар или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субталамическое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ядро (СТЯ), – и после подключения к генератору на контакты подается высокочастотная электрическая стимуляция, воздействующая на активность нейронов и нервных волокон в области стимуляции [</w:t>
      </w:r>
      <w:hyperlink r:id="rId4" w:anchor="R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], что позволяет снизить выраженность симптомов. Наряду с лекарственной терапией,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ядер базальных ганглиев имеет доказанную клиническую эффективность [</w:t>
      </w:r>
      <w:hyperlink r:id="rId5" w:anchor="R2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Установка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-систем предоставляет уникальную возможность непосредственной записи активности СТЯ в мозге пациентов с двигательными расстройствами. Эффективность при БП других воздействий, в частности,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неинвазивной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стимуляции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TMS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не доказана; существуют единичные исследования, где показано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временнóе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позитивное влияние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TMS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моторной коры на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паркинсонические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симптомы [</w:t>
      </w:r>
      <w:hyperlink r:id="rId6" w:anchor="R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7" w:anchor="R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], но прямое воздействие на базальные ганглии, функционирование которых нарушается при БП,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TMS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может обеспечить из-за ограничения по глубине безопасного воздействия (около 3 см) [</w:t>
      </w:r>
      <w:hyperlink r:id="rId8" w:anchor="R5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5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Этот метод может служить только потенциальным дополнением к основной терапии, т.к. ни степень эффективности, ни удобство использования не позволяют рассматривать его как полноценную альтернативу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Одним из основных нейрофизиологических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биомаркеров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болезни Паркинсона считается повышенная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осцилляторная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активность в СТЯ в частотном β-диапазоне.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Первые указания на то, что β-активность в СТЯ может рассматриваться как потенциальный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биомаркер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БП, появились два десятилетия назад [</w:t>
      </w:r>
      <w:hyperlink r:id="rId9" w:anchor="R6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6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]. Существует много свидетельств того, что β-осцилляции становятся менее выраженными при приеме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на фоне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стимуляции, а масштаб снижения β-осцилляций коррелирует с выраженностью клинических улучшений [</w:t>
      </w:r>
      <w:hyperlink r:id="rId10" w:anchor="R7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7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Однако параметр средней спектральной мощности β-осцилляций в широком диапазоне частот (13–30 Гц) представляется довольно неспецифичным показателем [</w:t>
      </w:r>
      <w:hyperlink r:id="rId11" w:anchor="R8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8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], что обуславливает необходимость поиска более чувствительных и специфичных коррелятов различных патофизиологических проявлений БП.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Неинвазивные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методы, такие как ЭЭГ, не столь информативны в изучении нейрофизиологии БП, как непосредственная запись активности базальных ганглиев методами локальных потенциалов и микроэлектродной регистрации. ЭЭГ-исследования при БП, в которых исследовали связь сигналов с медикаментозным состоянием и моторными симптомами, дают противоречивые [</w:t>
      </w:r>
      <w:hyperlink r:id="rId12" w:anchor="R9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9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]; в одной работе показали, что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мощность β-осцилляций в центрально-теменных отведениях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C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4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3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4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Pz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повышается, и величина повышения отрицательно коррелирует со степенью снижения симптомов по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шкале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MDS-UPDRS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III [</w:t>
      </w:r>
      <w:hyperlink r:id="rId13" w:anchor="R10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10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]. Однако в других исследованиях связи ЭЭГ с двигательными симптомами и приемом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было обнаружено [</w:t>
      </w:r>
      <w:hyperlink r:id="rId14" w:anchor="R1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5" w:anchor="R12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12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Множество научных данных указывает на функциональную неоднородность частотного β-диапазона с возможностью выделения двух β-поддиапазонов – низкочастотного (13–19 Гц) и высокочастотного (20–30 Гц). Так, согласно результатам исследования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S.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Marceglia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et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16" w:anchor="R1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], дофамин по-разному влияет на эти два поддиапазона. Авторы наблюдали нелинейную корреляцию между низко- и высокочастотной β-активностью в локальных потенциалах СТЯ; корреляция спектральной мощности в двух указанных диапазонах была заметно выражена при недостатке дофамина в периоде выключения и снижалась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[</w:t>
      </w:r>
      <w:hyperlink r:id="rId17" w:anchor="R1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недавнем исследовании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A.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Oswal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et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18" w:anchor="R1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 показали, что нейронные цепи, задействованные в генерации низко- и высокочастотной β-активности,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пространственно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функционально разделены. Они показали, что когерентность между дополнительной моторной областью и СТЯ в высокочастотном (21–30 Гц), но не низкочастотном (13–21 Гц) β-поддиапазоне коррелирует с плотностью волокон “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гиперпрямого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 пути, который соединяет эти две структуры. Авторы предположили, что высокочастотный β-диапазон отражает функциональную связь, опосредованную преимущественно “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гиперпрямым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 путем (проекции, идущие от моторной коры к СТЯ напрямую), тогда как низкочастотный β-поддиапазон связан с “непрямым” путем (проекции, идущие от коры к СТЯ через ряд структур). Опираясь на результаты исследования, авторы предположили, что терапевтический эффект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СТЯ преимущественно связан с подавлением активности в низкочастотном β-диапазоне.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Поиск нейрофизиологических маркеров патологической активности БП имеет большое значение для развития технологий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Различение патологической и физиологической активности важно для персонализации настроек “классической”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Стимуляция может проводиться с использованием разных комбинаций контактов электродов, и сейчас подбор оптимальных настроек осуществляется неврологом на основании клинической картины без учета особенностей активности мозга, что делает процедуру настройки длительной и трудоемкой. Выделение патологических паттернов в нейронной активности СТЯ в области вживления электрода и исследование их ассоциации с двигательными симптомами БП позволит в будущем значительно упростить процедуру подбора оптимальной программы стимуляции.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одна из перспективных технологий – адаптивная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обратной связью – предполагает настройку стимуляции в зависимости от текущей активности мозга. Поэтому для данного подхода крайне важно различать характеристики патологической и физиологической нейронной активности и исследовать ее корреляции с двигательными симптомами.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Хотя в большинстве исследований в качестве показателя ритмической активности в различных частотных диапазонах используется средняя спектральная мощность в указанном диапазоне, перспективным представляется изучение и других спектральных параметров – например, частотных характеристик, таких как пиковая частота осцилляций. Цель настоящего исследования – изучить функциональные различия низкочастотного и высокочастотного β-диапазонов при болезни Паркинсона и связь этих диапазонов с двигательными симптомами и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медикаментозным состоянием. С этой целью проанализировали ряд параметров локальных потенциалов: среднюю спектральную плотность, количество пиков, пиковую частоту и амплитуду в обоих поддиапазонах β-частот.</w:t>
      </w:r>
    </w:p>
    <w:p w:rsidR="00E127E1" w:rsidRPr="00E127E1" w:rsidRDefault="00E127E1" w:rsidP="00E127E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27E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МЕТОДИКА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исследовании принимали участие шесть пациентов с болезнью Паркинсона (44–62 года, средний возраст 52.8 ± 8.2 года, 5 женщин) (</w:t>
      </w:r>
      <w:hyperlink r:id="rId19" w:anchor="T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табл. 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). Критерием включения в исследование было отсутствие серьезных сопутствующих заболеваний, психиатрических нарушений, положительный ответ на лекарственную терапию, наличие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дискинезий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Всем пациентам была проведена операция по вживлению электродов для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ФГАУ “НМИЦ нейрохирургии им. акад. Н.Н. Бурденко” (г. Москва).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Таблица 1.  </w:t>
      </w:r>
    </w:p>
    <w:p w:rsidR="00E127E1" w:rsidRPr="00E127E1" w:rsidRDefault="00E127E1" w:rsidP="00E127E1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Сводная таблица с информацией о пациентах, включенных в исследование</w:t>
      </w:r>
    </w:p>
    <w:tbl>
      <w:tblPr>
        <w:tblW w:w="12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555"/>
        <w:gridCol w:w="934"/>
        <w:gridCol w:w="1556"/>
        <w:gridCol w:w="2227"/>
        <w:gridCol w:w="1121"/>
        <w:gridCol w:w="1466"/>
        <w:gridCol w:w="1308"/>
        <w:gridCol w:w="1121"/>
        <w:gridCol w:w="1176"/>
        <w:gridCol w:w="1176"/>
      </w:tblGrid>
      <w:tr w:rsidR="00E127E1" w:rsidRPr="00E127E1" w:rsidTr="00E127E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Пациент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Длительность заболевания,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LED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(эквивалентная доза 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леводопы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UPDRS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Гипокинезия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Ригидность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Тремор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UPDRS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UPDRS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</w:t>
            </w:r>
            <w:proofErr w:type="spellEnd"/>
            <w:r w:rsidRPr="00E1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5 день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1212.5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51/16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9/1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12/5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5/2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7/2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0/0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42/24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28/8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   2460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54/18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12/3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11/4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5/0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6/2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57/15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48/16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57/12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10/1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10/2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6/2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5/0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5/0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2/0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41/15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52/13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   3800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66/25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14/5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12/3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7/3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7/5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1/0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26/10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54/10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51/23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9/4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12/9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3/2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5/3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0/0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5/0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35/22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26/15</w:t>
            </w:r>
          </w:p>
        </w:tc>
      </w:tr>
      <w:tr w:rsidR="00E127E1" w:rsidRPr="00E127E1" w:rsidTr="00E127E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1511.5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48/11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6/1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11/3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3/1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6/3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Справа: 3/</w:t>
            </w: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br/>
              <w:t>Слева: 5/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49/11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E1" w:rsidRPr="00E127E1" w:rsidRDefault="00E127E1" w:rsidP="00E1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7E1">
              <w:rPr>
                <w:rFonts w:ascii="Times New Roman" w:eastAsia="Times New Roman" w:hAnsi="Times New Roman" w:cs="Times New Roman"/>
                <w:lang w:eastAsia="ru-RU"/>
              </w:rPr>
              <w:t>NA/NA</w:t>
            </w:r>
          </w:p>
        </w:tc>
      </w:tr>
    </w:tbl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Электроды для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St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.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Jude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модель 6178) были имплантированы в СТЯ билатерально с наружным выведением. Указанная модель электродов имеет 8 контактов для регистрации сигналов, как показано на </w:t>
      </w:r>
      <w:hyperlink r:id="rId20" w:anchor="F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 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Локальные потенциалы регистрировали у пациентов в состоянии спокойного бодрствования на первый и пятый день после операции. В течение 12 ч до записи пациенты не принимали препараты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Во время записи пациенты располагались в кресле. Записи состояли из двух частей: до (в периоде выключения) и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(в периоде включения). В рамках исследования пациенты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получали дозу, в 1.5 раза превышающую стандартную индивидуальную дозу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Рис. 1.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Схема получения и обработки локальных потенциалов.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электрод для глубинной стимуляции мозга, схема расположения контактов на электроде и пример исходных сигналов;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исходный спектр и апериодическая компонента сигнала;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“уплощенный” спектр после вычитания апериодической компоненты;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 –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изолированный пик осцилляций.</w:t>
      </w:r>
    </w:p>
    <w:p w:rsidR="00E127E1" w:rsidRPr="00E127E1" w:rsidRDefault="00E127E1" w:rsidP="00E12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210175" cy="3733800"/>
            <wp:effectExtent l="0" t="0" r="9525" b="0"/>
            <wp:docPr id="4" name="Рисунок 4" descr="https://sciencejournals.ru/issues/chelfiz/2023/vol_49/iss_5/ChelFiz2370036Saifulina/ChelFiz2370036Saifulina-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Fiz2370036Saifulina-F1" descr="https://sciencejournals.ru/issues/chelfiz/2023/vol_49/iss_5/ChelFiz2370036Saifulina/ChelFiz2370036Saifulina-F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Двигательные симптомы оценивались неврологом по шкале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перед обоими этапами исследования (в периоде выключения и периоде включения). Степень выраженности ригидности и гипокинезии оценивали отдельно для верхних и нижних конечностей левой и правой сторон тела, затем значения суммировали по каждой стороне. Пациенты, включенные в исследование, не являлись тремор-доминантными, поэтому данный симптом в рамках исследования не анализировали.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Обработка и анализ сигналов.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Предварительную обработку записей локальных потенциалов проводили при помощи скриптов на основе пакета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MNE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Python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22" w:anchor="R15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]. Предварительно локальные потенциалы были отфильтрованы полосовым фильтром в диапазоне 1–500 Гц, также был применен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режекторный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фильтр 50 Гц, участки записи с артефактами движения удаляли. Во всех записях были выделены 130-секундные (после удаления артефактов) интервалы для периодов включения и выключения. На основании паттернов нейронной активности, которую регистрировали с помощью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микроэлектродов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интраоперационно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ходе вживления электродов для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определяли локализацию имплантированных электродов относительно границ СТЯ. Согласно этим данным, у всех пациентов все контакты электродов, кроме верхних, были расположены внутри СТЯ.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На основе регистрации сигналов с 8 контактов каждого электрода (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монополярных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отведений) путем попарного вычитания получали 15 биполярных отведений. Такие биполярные отведения в большей степени, чем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монополярные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отражают активность внутри СТЯ, т.к. такой подход позволяет уменьшить влияние активности отдаленных источников на анализируемый сигнал. Для всех биполярных локальных потенциалов рассчитывали спектральную плотность мощности в частотном диапазоне 1–50 Гц по методу Уэлча (</w:t>
      </w:r>
      <w:hyperlink r:id="rId23" w:anchor="F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). Затем выделяли из спектров апериодическую компоненту (экспоненциальную составляющую, которая, как предполагается, отражает случайную активность, нейронный шум) и периодическую компоненту (пики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осцилляторной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активности), используя метод, описанный в статье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T.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Donoghue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et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реализованный в программном пакете для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Python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FOOOF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24" w:anchor="R16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16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Мы анализировали “уплощенные” спектры, рассчитывая среднюю спектральную плотность мощности (“спектральную мощность”) в низкочастотном и высокочастотном β-диапазонах (</w:t>
      </w:r>
      <w:hyperlink r:id="rId25" w:anchor="F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). Кроме того, мы анализировали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осцилляторные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пики в низкочастотном (13–20 Гц) и высокочастотном (20–30 Гц) β-поддиапазонах и получали пиковые частоты (значение частоты, соответствующее максимуму пика) и пиковые амплитуды (высоту пика в относительных единицах) для всех выделенных пиков осцилляций в интересующих нас диапазонах (</w:t>
      </w:r>
      <w:hyperlink r:id="rId26" w:anchor="F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Статистический анализ проводили в среде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 v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4.1.0 (</w:t>
      </w:r>
      <w:hyperlink r:id="rId27" w:tgtFrame="xrefwindow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https://www.R-project.org/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 Мы анализировали следующие параметры локальных потенциалов: долю биполярных отведений, где присутствуют пики осцилляций в каждом из поддиапазонов; пиковую частоту; амплитуду пиков осцилляций; среднюю спектральную мощность в двух β-поддиапазонах. Изучали, как связаны эти параметры с медикаментозным состоянием и тяжестью двигательных симптомов, оцененных по шкале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3, гипокинезия, ригидность).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каждого пациента все параметры были рассчитаны для левого и правого СТЯ на первый и пятый день после операции: медианные значения вычисляли по всем биполярным отведениям. Таким образом, от каждого пациента в ходе анализа учитывали восемь наблюдений, соответствующих сочетанию трех условий: два медикаментозных состояния (период включения и период выключения), два дня регистрации сигналов (1-й и 5-й день после операции) и два ядра (в левом и правом полушарии).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сравнивали параметры активности СТЯ в периодах включения и выключения при помощи парного теста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Вилкоксона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Чтобы проверить, связаны ли данные параметры с двигательными симптомами, мы использовали линейные модели со смешанными эффектами [</w:t>
      </w:r>
      <w:hyperlink r:id="rId28" w:anchor="R17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 и корреляцию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Спирмена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Анализ на основе моделей со смешанными эффектами был реализован с помощью пакетов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 lme4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29" w:anchor="R18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18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 и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lmerTest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[</w:t>
      </w:r>
      <w:hyperlink r:id="rId30" w:anchor="R19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19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]. Степень выраженности симптома рассматривали как фиксированный эффект, а пациент, т.е. фактор индивидуальной изменчивости нейронной активности, – как случайный эффект. Значимость фиксированных эффектов оценивали с помощью приближения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Кенварда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-Роджера для степеней свободы [</w:t>
      </w:r>
      <w:hyperlink r:id="rId31" w:anchor="R20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20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В ходе анализа значения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p-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value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0.05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рассматривали как статистически значимые.</w:t>
      </w:r>
    </w:p>
    <w:p w:rsidR="00E127E1" w:rsidRPr="00E127E1" w:rsidRDefault="00E127E1" w:rsidP="00E127E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27E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РЕЗУЛЬТАТЫ ИССЛЕДОВАНИЯ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Влияние медикаментозного состояния на низко- и высокочастотные β-осцилляции.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Чтобы оценить распространенность низкочастотных и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высокочастотных β-осцилляций в объеме СТЯ, мы подсчитали количество биполярных отведений с одиночными пиками осцилляций в низкочастотном и высокочастотном β-поддиапазонах и вычислили процентное соотношение таких отведений от общего числа отведений в СТЯ каждого полушария (15 отведений). Высокочастотные β-пики были шире распространены в СТЯ по сравнению с низкочастотными (медианы 46.7 и 6.7% соответственно, парный тест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Вилкоксона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0.001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(</w:t>
      </w:r>
      <w:hyperlink r:id="rId32" w:anchor="F2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2,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(объединенные данные по периодам включения и выключения). Это различие сохранялось и для периода включения, и для периода выключения по отдельности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0.001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обоих случаях) (</w:t>
      </w:r>
      <w:hyperlink r:id="rId33" w:anchor="F2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2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Рис. 2.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Распространенность низкочастотных и высокочастотных β-пиков в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субталамическом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ядре (СТЯ).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боксплоты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показывающие распространенность β-пиков обоих поддиапазонов в СТЯ независимо от медикаментозного состояния.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боксплоты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показывающие распространенность β-пиков в обоих поддиапазонах отдельно для выключенного и включенного состояния пациента.</w:t>
      </w:r>
    </w:p>
    <w:p w:rsidR="00E127E1" w:rsidRPr="00E127E1" w:rsidRDefault="00E127E1" w:rsidP="00E12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372100" cy="2228850"/>
            <wp:effectExtent l="0" t="0" r="0" b="0"/>
            <wp:docPr id="3" name="Рисунок 3" descr="https://sciencejournals.ru/issues/chelfiz/2023/vol_49/iss_5/ChelFiz2370036Saifulina/ChelFiz2370036Saifulina-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Fiz2370036Saifulina-F2" descr="https://sciencejournals.ru/issues/chelfiz/2023/vol_49/iss_5/ChelFiz2370036Saifulina/ChelFiz2370036Saifulina-F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Средняя спектральная мощность была ниже в периоде включения, чем в периоде выключения, в обоих β-поддиапазонах: низкочастотном (медианы 0.063 в периоде выключения и –0.1 в периоде включения,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0.001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и высокочастотном (медианы 0.24 в периоде выключения и 0.05 в периоде включения,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&lt; 0.001) (</w:t>
      </w:r>
      <w:hyperlink r:id="rId35" w:anchor="F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Рис. 3.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Активность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субталамического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ядра (СТЯ) при различных медикаментозных состояниях пациентов (включенном и выключенном).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усредненная спектральная мощность осцилляций для локальных потенциалов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субталамического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ядра, включенных в исследование (после удаления экспоненциального компонента).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вверху – распространенность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осцилляторных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пиков в СТЯ в зависимости от медикаментозного состояния и β-поддиапазона.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внизу – средняя спектральная мощность в зависимости от медикаментозного состояния и бета-поддиапазона.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изменение параметров высокочастотных β-пиков в зависимости от медикаментозного состояния.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вверху –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боксплоты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показывающие изменение пиковой частоты осцилляций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внизу –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боксплоты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показывающие изменение амплитуды осцилляций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E127E1" w:rsidRPr="00E127E1" w:rsidRDefault="00E127E1" w:rsidP="00E12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5295900" cy="6400800"/>
            <wp:effectExtent l="0" t="0" r="0" b="0"/>
            <wp:docPr id="2" name="Рисунок 2" descr="https://sciencejournals.ru/issues/chelfiz/2023/vol_49/iss_5/ChelFiz2370036Saifulina/ChelFiz2370036Saifulina-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Fiz2370036Saifulina-F3" descr="https://sciencejournals.ru/issues/chelfiz/2023/vol_49/iss_5/ChelFiz2370036Saifulina/ChelFiz2370036Saifulina-F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Поскольку в низкочастотном β-поддиапазоне мы обнаружили слишком мало пиков осцилляций, далее анализировали только параметры высокочастотных β-пиков.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амплитуда высокочастотных β-пиков значительно уменьшилась (медианы 0.45 и 0.29,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0.001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(</w:t>
      </w:r>
      <w:hyperlink r:id="rId37" w:anchor="F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 а пиковая частота осцилляций сместилась вправо, в сторону более высоких частот (медианы 24.3 и 26.8 Гц,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0.029) (</w:t>
      </w:r>
      <w:hyperlink r:id="rId38" w:anchor="F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Связь низкочастотных и высокочастотных β-осцилляций с двигательными симптомами.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Спектральная мощность осцилляций была сильнее связана с двигательными симптомами в низкочастотном β-поддиапазоне, чем в высокочастотном. Средняя спектральная мощность в низкочастотном β-поддиапазоне положительно коррелировала с оценками по всем трем исследуемым шкалам двигательных нарушений: гипокинезией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0.008,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0.17, </w:t>
      </w:r>
      <w:hyperlink r:id="rId39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 ригидностью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&lt; 0.001,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= 0.31, </w:t>
      </w:r>
      <w:hyperlink r:id="rId40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и оценкой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0.001,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0.23, </w:t>
      </w:r>
      <w:hyperlink r:id="rId41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). В отличие от низкочастотного поддиапазона, мощность в высокочастотном β-поддиапазоне коррелировала только с оценкой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ригидности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0.001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0.17, </w:t>
      </w:r>
      <w:hyperlink r:id="rId42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 Корреляции с гипокинезией не было выявлено (</w:t>
      </w:r>
      <w:proofErr w:type="gram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&gt;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0.05, 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0.01, </w:t>
      </w:r>
      <w:hyperlink r:id="rId43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 как и корреляции с суммарной оценкой по шкале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0.008,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= 0.05, </w:t>
      </w:r>
      <w:hyperlink r:id="rId44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4, </w:t>
        </w:r>
        <w:r w:rsidRPr="00E127E1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A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Рис. 4.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Взаимосвязь параметров активности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субталамического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ядра (СТЯ) и степени выраженности двигательных симптомов.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связь средней спектральной мощности осцилляций в двух β-поддиапазонах с выраженностью двигательных симптомов, оцененных по шкале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гипокинезия, ригидность и общий балл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 –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связь параметров высокочастотных β-пиков с выраженностью двигательных симптомов.</w:t>
      </w:r>
    </w:p>
    <w:p w:rsidR="00E127E1" w:rsidRPr="00E127E1" w:rsidRDefault="00E127E1" w:rsidP="00E12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695950" cy="6381750"/>
            <wp:effectExtent l="0" t="0" r="0" b="0"/>
            <wp:docPr id="1" name="Рисунок 1" descr="https://sciencejournals.ru/issues/chelfiz/2023/vol_49/iss_5/ChelFiz2370036Saifulina/ChelFiz2370036Saifulina-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Fiz2370036Saifulina-F4" descr="https://sciencejournals.ru/issues/chelfiz/2023/vol_49/iss_5/ChelFiz2370036Saifulina/ChelFiz2370036Saifulina-F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Поскольку низкочастотные β-пики, выделенные на спектрах в СТЯ в ходе анализа, были слишком малочисленными, связь клинических симптомов БП и параметров осцилляций анализировалась только для высокочастотного β-диапазона.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Амплитуда высокочастотных β-пиков менялась аналогично средней спектральной мощности в том же диапазоне: мы обнаружили слабую положительную корреляцию с оценкой ригидности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&lt; &lt; 0.001,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0.177, </w:t>
      </w:r>
      <w:hyperlink r:id="rId46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 связь с оценками гипокинезии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0,002,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0.029, </w:t>
      </w:r>
      <w:hyperlink r:id="rId47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и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UPDRS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0.02,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0.052, </w:t>
      </w:r>
      <w:hyperlink r:id="rId48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была пренебрежимо слабой.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Второй исследованный параметр, пиковая частота осцилляций, показал слабую отрицательную корреляцию со шкалой ригидности (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R</w:t>
      </w:r>
      <w:r w:rsidRPr="00E127E1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0.13,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p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&lt;</w:t>
      </w:r>
      <w:proofErr w:type="gram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0.001): чем выше была оценка по шкале ригидности, тем меньше была пиковая частота осцилляций в высокочастотном β-диапазоне (</w:t>
      </w:r>
      <w:hyperlink r:id="rId49" w:anchor="F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рис. 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E127E1" w:rsidRPr="00E127E1" w:rsidRDefault="00E127E1" w:rsidP="00E127E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27E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ОБСУЖДЕНИЕ РЕЗУЛЬТАТОВ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Главной целью настоящей работы было выявление параметров локальных потенциалов СТЯ, специфически связанных с двигательными симптомами при болезни Паркинсона. В центре нашего внимания было именно на β-диапазоне осцилляций, т.к. в большинстве источников говорится о его связи с медикаментозным состоянием и двигательными нарушениями у пациентов с БП [</w:t>
      </w:r>
      <w:hyperlink r:id="rId50" w:anchor="R7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7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51" w:anchor="R21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21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Однако в данном исследовании, принимая во внимание работы, указывающие на функциональную неоднородность данного диапазона частот [</w:t>
      </w:r>
      <w:hyperlink r:id="rId52" w:anchor="R1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53" w:anchor="R1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], было принято решение разделить β-осцилляции на два частотных поддиапазона с целью поиска более чувствительных и специфичных коррелятов для отдельных двигательных симптомов среди параметров осцилляций в указанных поддиапазонах.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некоторых аспектах низкочастотный и высокочастотный β-поддиапазоны вели себя сходным образом. Полученные нами данные о том, что осцилляции в обоих поддиапазонах реагируют на прием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согласуются с литературными источниками; спектральная мощность β-осцилляций после приема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леводопы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уменьшалась, распространенность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осцилляторной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активности в объеме СТЯ падала.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помимо сходных эффектов был обнаружен ряд различий между β-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поддипазонами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Прежде всего, стоит отметить более широкую распространенность высокочастотных β-пиков в СТЯ по сравнению с низкочастотными. Малочисленность обнаруженных пиков осцилляций в низкочастотном поддиапазоне затруднила детальный анализ их параметров, хотя именно в этом диапазоне среднее значение спектральной мощности коррелировало с оценками всех анализируемых двигательных симптомов. В то же время средняя спектральная мощность высокочастотных β-осцилляций коррелировала только с оценками по шкале ригидности.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высокочастотного β-поддиапазона удалось выделить и проанализировать больше параметров, причем все три исследованных параметра – средняя спектральная мощность, пиковая частота, амплитуда пика – значимо изменялись в зависимости от медикаментозного состояния. Два дополнительных параметра потенциально могут раскрыть больше информации о состоянии пациента, это позволяет говорить о том, что высокочастотный β-поддиапазон имеет большее значение при анализе медикаментозного состояния. В то время как средняя спектральная мощность и амплитуда пика взаимосвязаны, и можно ожидать их согласованного изменения, изменения в частоте пика осцилляций может отражать принципиально иные процессы в нейронных сетях – например, вовлечение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дополнительных популяций нейронов, что, предположительно, облегчает моторный контроль при БП [</w:t>
      </w:r>
      <w:hyperlink r:id="rId54" w:anchor="R22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22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], или переход между разными функциональными состояниями [</w:t>
      </w:r>
      <w:hyperlink r:id="rId55" w:anchor="R23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23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Результаты немногочисленных исследований, изучающих изменение частоты осцилляций в связи с болезнью Паркинсона и уровнем дофамина, неоднозначны [</w:t>
      </w:r>
      <w:hyperlink r:id="rId56" w:anchor="R2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57" w:anchor="R25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25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]. Но часть из них демонстрирует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конкордантные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сдвиги между частотой и уровнем дофамина [</w:t>
      </w:r>
      <w:hyperlink r:id="rId58" w:anchor="R26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26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], что соответствует нашим наблюдениям (повышение частоты пика β-осцилляций при переходе из выключенного во включенное состояние) и говорит, что пиковая β-частота является потенциальным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биомаркером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двигательных нарушений.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Наблюдаемые различия характеристик активности в двух β-поддиапазонах хорошо укладываются в рамки представления о пространственном и функциональном разделении их источников.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A. 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Oswal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et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получили свидетельства в пользу функциональной сегрегации двух поддиапазонов: согласно результатам их исследования, низкочастотные β-осцилляции связаны с “непрямым” путем, который соединяет кору и базальные ганглии через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стриатум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 высокочастотный β-поддиапазон – с “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гиперпрямым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 путем, соединяющим дополнительную моторную область коры с СТЯ напрямую [</w:t>
      </w:r>
      <w:hyperlink r:id="rId59" w:anchor="R14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14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Взяв за основу наблюдаемые в клиническом исследовании явления, авторы разработали вычислительную модель для симуляции нейронных процессов, способных генерировать эмпирически наблюдаемые ритмические осцилляции. В нее включили два парных возбуждающе-тормозных сетевых генератора: кортикальную сеть с проекциями к подкорковым структурам, порождающую высокочастотную β-активность в базальных ганглиях (“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гиперпрямой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 путь), и реципрокные подкорковые контуры, способные генерировать низкочастотные β-осцилляции (“непрямой” путь). Согласно этой модели, при БП может повышаться активность в “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гиперпрямом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пути, что выражается в усилении высокочастотной β-активности и, вероятно, опосредует возникновение избыточной синхронизации осцилляций в низкочастотном β-диапазоне в подкорковых структурах, которая, в свою очередь, может служить основой развития двигательных дисфункций. Эта модель хорошо согласуется с результатами нашего исследования, указывающими на разную специфичность низкочастотного и высокочастотного β-поддиапазонов по отношению к двигательным симптомам (лекарственная терапия и разные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паркинсонические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симптомы).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же пространственное разделение источников осцилляций в двух β-поддиапазонах связано со специфичностью к разным двигательным симптомам? В литературе существуют свидетельства в пользу того, что в основе симптомов гипокинезии и ригидности могут лежать разные нейрофизиологические механизмы.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M.D.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Johnson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et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al</w:t>
      </w:r>
      <w:proofErr w:type="spellEnd"/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 исследовании на макаках-резусах показали, что снижение степени выраженности ригидности и гипокинезии на фоне </w:t>
      </w:r>
      <w:r w:rsidRPr="00E127E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DBS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стимуляции коррелирует с активацией разных нейронных путей [</w:t>
      </w:r>
      <w:hyperlink r:id="rId60" w:anchor="R27" w:history="1">
        <w:r w:rsidRPr="00E127E1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27</w:t>
        </w:r>
      </w:hyperlink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]. Это позволяет предположить, что нарушения двигательного контроля, выражающиеся в повышенном мышечном тонусе (ригидность) и замедленности произвольных движений (гипокинезия), обусловлены разными нейронными источниками, которые, в свою очередь, могут генерировать осцилляции в разных β-поддиапазонах.</w:t>
      </w:r>
    </w:p>
    <w:p w:rsidR="00E127E1" w:rsidRPr="00E127E1" w:rsidRDefault="00E127E1" w:rsidP="00E127E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E127E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ЗАКЛЮЧЕНИЕ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Результаты настоящего исследования показывают, что низкочастотная β-активность отражает двигательные симптомы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неспецифически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 то время как 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высокочастотные β-осцилляции более специализированы и отражают только ригидность. Данные настоящего исследования подтверждают гипотезу о функциональной специализации двух β-поддиапазонов и свидетельствуют в пользу дифференциального анализа осцилляций в широком β-диапазоне в дальнейших исследованиях.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Этические нормы.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Все исследования проведены в соответствии с принципами биомедицинской этики, сформулированными в Хельсинкской декларации 1964 г. и ее последующих обновлениях, и одобрены локальным этическим комитетом Национального медицинского исследовательского центра нейрохирургии им. акад. Н.Н. Бурденко Минздрава России (Москва).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Информированное согласие.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Каждый участник исследования представил добровольное письменное информированное согласие, подписанное им после разъяснения ему потенциальных рисков и преимуществ, а также характера предстоящего исследования.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Финансирование работы.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Работа выполнена при финансовой поддержке РНФ (грант № 22-15-00344) (регистрация электрофизиологических данных), а также гранта Программы “Мозг” АНО “Научный центр перспективных междисциплинарных исследований "Идея” (анализ данных).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Конфликт интересов.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Авторы декларируют отсутствие явных и потенциальных конфликтов интересов, связанных с публикацией данной статьи.</w:t>
      </w:r>
    </w:p>
    <w:p w:rsidR="00E127E1" w:rsidRPr="00E127E1" w:rsidRDefault="00E127E1" w:rsidP="00E12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127E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Вклад авторов в публикацию.</w:t>
      </w:r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А.С. Седов и Е.М. Белова разрабатывали концепцию и дизайн исследования, редактировали рукопись. В.И. Филюшкина, Е.М. Белова и А.А. Томский организовали сбор данных. А.А. Гамалея проводила клиническую оценку пациентов. К.Э. </w:t>
      </w:r>
      <w:proofErr w:type="spellStart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Сайфулина</w:t>
      </w:r>
      <w:proofErr w:type="spellEnd"/>
      <w:r w:rsidRPr="00E127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выполнила обработку данных, статистический анализ и написала первый вариант рукописи. Все авторы прочитали и одобрили представленную версию.</w:t>
      </w:r>
    </w:p>
    <w:p w:rsidR="00283610" w:rsidRDefault="00283610">
      <w:bookmarkStart w:id="0" w:name="_GoBack"/>
      <w:bookmarkEnd w:id="0"/>
    </w:p>
    <w:sectPr w:rsidR="0028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1"/>
    <w:rsid w:val="00283610"/>
    <w:rsid w:val="00E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3CDC-3205-4C2F-B04D-4B0F163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1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irst">
    <w:name w:val="first"/>
    <w:basedOn w:val="a"/>
    <w:rsid w:val="00E1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7E1"/>
    <w:rPr>
      <w:color w:val="0000FF"/>
      <w:u w:val="single"/>
    </w:rPr>
  </w:style>
  <w:style w:type="character" w:customStyle="1" w:styleId="rotated-textinner270">
    <w:name w:val="rotated-text__inner270"/>
    <w:basedOn w:val="a0"/>
    <w:rsid w:val="00E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journals.ru/view-article/?j=chelfiz&amp;y=2023&amp;v=49&amp;n=5&amp;a=ChelFiz2370036Saifulina" TargetMode="External"/><Relationship Id="rId18" Type="http://schemas.openxmlformats.org/officeDocument/2006/relationships/hyperlink" Target="https://sciencejournals.ru/view-article/?j=chelfiz&amp;y=2023&amp;v=49&amp;n=5&amp;a=ChelFiz2370036Saifulina" TargetMode="External"/><Relationship Id="rId26" Type="http://schemas.openxmlformats.org/officeDocument/2006/relationships/hyperlink" Target="https://sciencejournals.ru/view-article/?j=chelfiz&amp;y=2023&amp;v=49&amp;n=5&amp;a=ChelFiz2370036Saifulina" TargetMode="External"/><Relationship Id="rId39" Type="http://schemas.openxmlformats.org/officeDocument/2006/relationships/hyperlink" Target="https://sciencejournals.ru/view-article/?j=chelfiz&amp;y=2023&amp;v=49&amp;n=5&amp;a=ChelFiz2370036Saifulina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2.png"/><Relationship Id="rId42" Type="http://schemas.openxmlformats.org/officeDocument/2006/relationships/hyperlink" Target="https://sciencejournals.ru/view-article/?j=chelfiz&amp;y=2023&amp;v=49&amp;n=5&amp;a=ChelFiz2370036Saifulina" TargetMode="External"/><Relationship Id="rId47" Type="http://schemas.openxmlformats.org/officeDocument/2006/relationships/hyperlink" Target="https://sciencejournals.ru/view-article/?j=chelfiz&amp;y=2023&amp;v=49&amp;n=5&amp;a=ChelFiz2370036Saifulina" TargetMode="External"/><Relationship Id="rId50" Type="http://schemas.openxmlformats.org/officeDocument/2006/relationships/hyperlink" Target="https://sciencejournals.ru/view-article/?j=chelfiz&amp;y=2023&amp;v=49&amp;n=5&amp;a=ChelFiz2370036Saifulina" TargetMode="External"/><Relationship Id="rId55" Type="http://schemas.openxmlformats.org/officeDocument/2006/relationships/hyperlink" Target="https://sciencejournals.ru/view-article/?j=chelfiz&amp;y=2023&amp;v=49&amp;n=5&amp;a=ChelFiz2370036Saifulina" TargetMode="External"/><Relationship Id="rId7" Type="http://schemas.openxmlformats.org/officeDocument/2006/relationships/hyperlink" Target="https://sciencejournals.ru/view-article/?j=chelfiz&amp;y=2023&amp;v=49&amp;n=5&amp;a=ChelFiz2370036Saiful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journals.ru/view-article/?j=chelfiz&amp;y=2023&amp;v=49&amp;n=5&amp;a=ChelFiz2370036Saifulina" TargetMode="External"/><Relationship Id="rId20" Type="http://schemas.openxmlformats.org/officeDocument/2006/relationships/hyperlink" Target="https://sciencejournals.ru/view-article/?j=chelfiz&amp;y=2023&amp;v=49&amp;n=5&amp;a=ChelFiz2370036Saifulina" TargetMode="External"/><Relationship Id="rId29" Type="http://schemas.openxmlformats.org/officeDocument/2006/relationships/hyperlink" Target="https://sciencejournals.ru/view-article/?j=chelfiz&amp;y=2023&amp;v=49&amp;n=5&amp;a=ChelFiz2370036Saifulina" TargetMode="External"/><Relationship Id="rId41" Type="http://schemas.openxmlformats.org/officeDocument/2006/relationships/hyperlink" Target="https://sciencejournals.ru/view-article/?j=chelfiz&amp;y=2023&amp;v=49&amp;n=5&amp;a=ChelFiz2370036Saifulina" TargetMode="External"/><Relationship Id="rId54" Type="http://schemas.openxmlformats.org/officeDocument/2006/relationships/hyperlink" Target="https://sciencejournals.ru/view-article/?j=chelfiz&amp;y=2023&amp;v=49&amp;n=5&amp;a=ChelFiz2370036Saifulina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iencejournals.ru/view-article/?j=chelfiz&amp;y=2023&amp;v=49&amp;n=5&amp;a=ChelFiz2370036Saifulina" TargetMode="External"/><Relationship Id="rId11" Type="http://schemas.openxmlformats.org/officeDocument/2006/relationships/hyperlink" Target="https://sciencejournals.ru/view-article/?j=chelfiz&amp;y=2023&amp;v=49&amp;n=5&amp;a=ChelFiz2370036Saifulina" TargetMode="External"/><Relationship Id="rId24" Type="http://schemas.openxmlformats.org/officeDocument/2006/relationships/hyperlink" Target="https://sciencejournals.ru/view-article/?j=chelfiz&amp;y=2023&amp;v=49&amp;n=5&amp;a=ChelFiz2370036Saifulina" TargetMode="External"/><Relationship Id="rId32" Type="http://schemas.openxmlformats.org/officeDocument/2006/relationships/hyperlink" Target="https://sciencejournals.ru/view-article/?j=chelfiz&amp;y=2023&amp;v=49&amp;n=5&amp;a=ChelFiz2370036Saifulina" TargetMode="External"/><Relationship Id="rId37" Type="http://schemas.openxmlformats.org/officeDocument/2006/relationships/hyperlink" Target="https://sciencejournals.ru/view-article/?j=chelfiz&amp;y=2023&amp;v=49&amp;n=5&amp;a=ChelFiz2370036Saifulina" TargetMode="External"/><Relationship Id="rId40" Type="http://schemas.openxmlformats.org/officeDocument/2006/relationships/hyperlink" Target="https://sciencejournals.ru/view-article/?j=chelfiz&amp;y=2023&amp;v=49&amp;n=5&amp;a=ChelFiz2370036Saifulina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s://sciencejournals.ru/view-article/?j=chelfiz&amp;y=2023&amp;v=49&amp;n=5&amp;a=ChelFiz2370036Saifulina" TargetMode="External"/><Relationship Id="rId58" Type="http://schemas.openxmlformats.org/officeDocument/2006/relationships/hyperlink" Target="https://sciencejournals.ru/view-article/?j=chelfiz&amp;y=2023&amp;v=49&amp;n=5&amp;a=ChelFiz2370036Saifulina" TargetMode="External"/><Relationship Id="rId5" Type="http://schemas.openxmlformats.org/officeDocument/2006/relationships/hyperlink" Target="https://sciencejournals.ru/view-article/?j=chelfiz&amp;y=2023&amp;v=49&amp;n=5&amp;a=ChelFiz2370036Saifulina" TargetMode="External"/><Relationship Id="rId15" Type="http://schemas.openxmlformats.org/officeDocument/2006/relationships/hyperlink" Target="https://sciencejournals.ru/view-article/?j=chelfiz&amp;y=2023&amp;v=49&amp;n=5&amp;a=ChelFiz2370036Saifulina" TargetMode="External"/><Relationship Id="rId23" Type="http://schemas.openxmlformats.org/officeDocument/2006/relationships/hyperlink" Target="https://sciencejournals.ru/view-article/?j=chelfiz&amp;y=2023&amp;v=49&amp;n=5&amp;a=ChelFiz2370036Saifulina" TargetMode="External"/><Relationship Id="rId28" Type="http://schemas.openxmlformats.org/officeDocument/2006/relationships/hyperlink" Target="https://sciencejournals.ru/view-article/?j=chelfiz&amp;y=2023&amp;v=49&amp;n=5&amp;a=ChelFiz2370036Saifulina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s://sciencejournals.ru/view-article/?j=chelfiz&amp;y=2023&amp;v=49&amp;n=5&amp;a=ChelFiz2370036Saifulina" TargetMode="External"/><Relationship Id="rId57" Type="http://schemas.openxmlformats.org/officeDocument/2006/relationships/hyperlink" Target="https://sciencejournals.ru/view-article/?j=chelfiz&amp;y=2023&amp;v=49&amp;n=5&amp;a=ChelFiz2370036Saifulin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ciencejournals.ru/view-article/?j=chelfiz&amp;y=2023&amp;v=49&amp;n=5&amp;a=ChelFiz2370036Saifulina" TargetMode="External"/><Relationship Id="rId19" Type="http://schemas.openxmlformats.org/officeDocument/2006/relationships/hyperlink" Target="https://sciencejournals.ru/view-article/?j=chelfiz&amp;y=2023&amp;v=49&amp;n=5&amp;a=ChelFiz2370036Saifulina" TargetMode="External"/><Relationship Id="rId31" Type="http://schemas.openxmlformats.org/officeDocument/2006/relationships/hyperlink" Target="https://sciencejournals.ru/view-article/?j=chelfiz&amp;y=2023&amp;v=49&amp;n=5&amp;a=ChelFiz2370036Saifulina" TargetMode="External"/><Relationship Id="rId44" Type="http://schemas.openxmlformats.org/officeDocument/2006/relationships/hyperlink" Target="https://sciencejournals.ru/view-article/?j=chelfiz&amp;y=2023&amp;v=49&amp;n=5&amp;a=ChelFiz2370036Saifulina" TargetMode="External"/><Relationship Id="rId52" Type="http://schemas.openxmlformats.org/officeDocument/2006/relationships/hyperlink" Target="https://sciencejournals.ru/view-article/?j=chelfiz&amp;y=2023&amp;v=49&amp;n=5&amp;a=ChelFiz2370036Saifulina" TargetMode="External"/><Relationship Id="rId60" Type="http://schemas.openxmlformats.org/officeDocument/2006/relationships/hyperlink" Target="https://sciencejournals.ru/view-article/?j=chelfiz&amp;y=2023&amp;v=49&amp;n=5&amp;a=ChelFiz2370036Saifulina" TargetMode="External"/><Relationship Id="rId4" Type="http://schemas.openxmlformats.org/officeDocument/2006/relationships/hyperlink" Target="https://sciencejournals.ru/view-article/?j=chelfiz&amp;y=2023&amp;v=49&amp;n=5&amp;a=ChelFiz2370036Saifulina" TargetMode="External"/><Relationship Id="rId9" Type="http://schemas.openxmlformats.org/officeDocument/2006/relationships/hyperlink" Target="https://sciencejournals.ru/view-article/?j=chelfiz&amp;y=2023&amp;v=49&amp;n=5&amp;a=ChelFiz2370036Saifulina" TargetMode="External"/><Relationship Id="rId14" Type="http://schemas.openxmlformats.org/officeDocument/2006/relationships/hyperlink" Target="https://sciencejournals.ru/view-article/?j=chelfiz&amp;y=2023&amp;v=49&amp;n=5&amp;a=ChelFiz2370036Saifulina" TargetMode="External"/><Relationship Id="rId22" Type="http://schemas.openxmlformats.org/officeDocument/2006/relationships/hyperlink" Target="https://sciencejournals.ru/view-article/?j=chelfiz&amp;y=2023&amp;v=49&amp;n=5&amp;a=ChelFiz2370036Saifulina" TargetMode="External"/><Relationship Id="rId27" Type="http://schemas.openxmlformats.org/officeDocument/2006/relationships/hyperlink" Target="https://www.r-project.org/" TargetMode="External"/><Relationship Id="rId30" Type="http://schemas.openxmlformats.org/officeDocument/2006/relationships/hyperlink" Target="https://sciencejournals.ru/view-article/?j=chelfiz&amp;y=2023&amp;v=49&amp;n=5&amp;a=ChelFiz2370036Saifulina" TargetMode="External"/><Relationship Id="rId35" Type="http://schemas.openxmlformats.org/officeDocument/2006/relationships/hyperlink" Target="https://sciencejournals.ru/view-article/?j=chelfiz&amp;y=2023&amp;v=49&amp;n=5&amp;a=ChelFiz2370036Saifulina" TargetMode="External"/><Relationship Id="rId43" Type="http://schemas.openxmlformats.org/officeDocument/2006/relationships/hyperlink" Target="https://sciencejournals.ru/view-article/?j=chelfiz&amp;y=2023&amp;v=49&amp;n=5&amp;a=ChelFiz2370036Saifulina" TargetMode="External"/><Relationship Id="rId48" Type="http://schemas.openxmlformats.org/officeDocument/2006/relationships/hyperlink" Target="https://sciencejournals.ru/view-article/?j=chelfiz&amp;y=2023&amp;v=49&amp;n=5&amp;a=ChelFiz2370036Saifulina" TargetMode="External"/><Relationship Id="rId56" Type="http://schemas.openxmlformats.org/officeDocument/2006/relationships/hyperlink" Target="https://sciencejournals.ru/view-article/?j=chelfiz&amp;y=2023&amp;v=49&amp;n=5&amp;a=ChelFiz2370036Saifulina" TargetMode="External"/><Relationship Id="rId8" Type="http://schemas.openxmlformats.org/officeDocument/2006/relationships/hyperlink" Target="https://sciencejournals.ru/view-article/?j=chelfiz&amp;y=2023&amp;v=49&amp;n=5&amp;a=ChelFiz2370036Saifulina" TargetMode="External"/><Relationship Id="rId51" Type="http://schemas.openxmlformats.org/officeDocument/2006/relationships/hyperlink" Target="https://sciencejournals.ru/view-article/?j=chelfiz&amp;y=2023&amp;v=49&amp;n=5&amp;a=ChelFiz2370036Saifuli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iencejournals.ru/view-article/?j=chelfiz&amp;y=2023&amp;v=49&amp;n=5&amp;a=ChelFiz2370036Saifulina" TargetMode="External"/><Relationship Id="rId17" Type="http://schemas.openxmlformats.org/officeDocument/2006/relationships/hyperlink" Target="https://sciencejournals.ru/view-article/?j=chelfiz&amp;y=2023&amp;v=49&amp;n=5&amp;a=ChelFiz2370036Saifulina" TargetMode="External"/><Relationship Id="rId25" Type="http://schemas.openxmlformats.org/officeDocument/2006/relationships/hyperlink" Target="https://sciencejournals.ru/view-article/?j=chelfiz&amp;y=2023&amp;v=49&amp;n=5&amp;a=ChelFiz2370036Saifulina" TargetMode="External"/><Relationship Id="rId33" Type="http://schemas.openxmlformats.org/officeDocument/2006/relationships/hyperlink" Target="https://sciencejournals.ru/view-article/?j=chelfiz&amp;y=2023&amp;v=49&amp;n=5&amp;a=ChelFiz2370036Saifulina" TargetMode="External"/><Relationship Id="rId38" Type="http://schemas.openxmlformats.org/officeDocument/2006/relationships/hyperlink" Target="https://sciencejournals.ru/view-article/?j=chelfiz&amp;y=2023&amp;v=49&amp;n=5&amp;a=ChelFiz2370036Saifulina" TargetMode="External"/><Relationship Id="rId46" Type="http://schemas.openxmlformats.org/officeDocument/2006/relationships/hyperlink" Target="https://sciencejournals.ru/view-article/?j=chelfiz&amp;y=2023&amp;v=49&amp;n=5&amp;a=ChelFiz2370036Saifulina" TargetMode="External"/><Relationship Id="rId59" Type="http://schemas.openxmlformats.org/officeDocument/2006/relationships/hyperlink" Target="https://sciencejournals.ru/view-article/?j=chelfiz&amp;y=2023&amp;v=49&amp;n=5&amp;a=ChelFiz2370036Saifu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Гамалея Анна Александровна</dc:creator>
  <cp:keywords/>
  <dc:description/>
  <cp:lastModifiedBy>Гамалея Анна Александровна</cp:lastModifiedBy>
  <cp:revision>1</cp:revision>
  <dcterms:created xsi:type="dcterms:W3CDTF">2023-12-10T11:14:00Z</dcterms:created>
  <dcterms:modified xsi:type="dcterms:W3CDTF">2023-12-10T11:14:00Z</dcterms:modified>
</cp:coreProperties>
</file>