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23" w:rsidRPr="00F8199B" w:rsidRDefault="00B54423" w:rsidP="001A1A03">
      <w:pPr>
        <w:spacing w:line="23" w:lineRule="atLeast"/>
        <w:jc w:val="right"/>
        <w:rPr>
          <w:rFonts w:asciiTheme="minorHAnsi" w:hAnsiTheme="minorHAnsi"/>
          <w:i/>
          <w:lang w:val="ru-RU"/>
        </w:rPr>
      </w:pPr>
      <w:r w:rsidRPr="00F8199B">
        <w:rPr>
          <w:rFonts w:asciiTheme="minorHAnsi" w:hAnsiTheme="minorHAnsi"/>
          <w:i/>
          <w:lang w:val="ru-RU"/>
        </w:rPr>
        <w:t>Шогенов Мурат Замирович</w:t>
      </w:r>
      <w:r w:rsidR="001A1A03">
        <w:rPr>
          <w:rFonts w:asciiTheme="minorHAnsi" w:hAnsiTheme="minorHAnsi"/>
          <w:i/>
          <w:lang w:val="ru-RU"/>
        </w:rPr>
        <w:t xml:space="preserve">, Гуня Алексей Николаевич, </w:t>
      </w:r>
      <w:r w:rsidRPr="00F8199B">
        <w:rPr>
          <w:rFonts w:asciiTheme="minorHAnsi" w:hAnsiTheme="minorHAnsi"/>
          <w:i/>
          <w:lang w:val="ru-RU"/>
        </w:rPr>
        <w:t>Тенов Тимур Залимханович</w:t>
      </w:r>
      <w:r w:rsidR="001A1A03">
        <w:rPr>
          <w:rFonts w:asciiTheme="minorHAnsi" w:hAnsiTheme="minorHAnsi"/>
          <w:i/>
          <w:lang w:val="ru-RU"/>
        </w:rPr>
        <w:t xml:space="preserve">, </w:t>
      </w:r>
      <w:r w:rsidRPr="00F8199B">
        <w:rPr>
          <w:rFonts w:asciiTheme="minorHAnsi" w:hAnsiTheme="minorHAnsi"/>
          <w:i/>
          <w:lang w:val="ru-RU"/>
        </w:rPr>
        <w:t>Чеченов Аслан Магометгериевич</w:t>
      </w:r>
      <w:r w:rsidR="001A1A03">
        <w:rPr>
          <w:rFonts w:asciiTheme="minorHAnsi" w:hAnsiTheme="minorHAnsi"/>
          <w:i/>
          <w:lang w:val="ru-RU"/>
        </w:rPr>
        <w:t xml:space="preserve">, </w:t>
      </w:r>
      <w:r w:rsidRPr="00F8199B">
        <w:rPr>
          <w:rFonts w:asciiTheme="minorHAnsi" w:hAnsiTheme="minorHAnsi"/>
          <w:i/>
          <w:lang w:val="ru-RU"/>
        </w:rPr>
        <w:t>Чемаев Назир Азретович</w:t>
      </w:r>
    </w:p>
    <w:p w:rsidR="00B54423" w:rsidRPr="00F8199B" w:rsidRDefault="00B54423" w:rsidP="001A1A03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="Arial"/>
          <w:b/>
          <w:bCs/>
          <w:lang w:val="ru-RU"/>
        </w:rPr>
      </w:pPr>
    </w:p>
    <w:p w:rsidR="0073618D" w:rsidRPr="00F8199B" w:rsidRDefault="00E64FDA" w:rsidP="001A1A03">
      <w:pPr>
        <w:widowControl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/>
          <w:b/>
          <w:lang w:val="ru-RU"/>
        </w:rPr>
      </w:pPr>
      <w:r w:rsidRPr="00BF0D1C">
        <w:rPr>
          <w:rFonts w:asciiTheme="minorHAnsi" w:hAnsiTheme="minorHAnsi"/>
          <w:b/>
          <w:bCs/>
          <w:lang w:val="ru-RU"/>
        </w:rPr>
        <w:t>И</w:t>
      </w:r>
      <w:r w:rsidR="0073618D" w:rsidRPr="00BF0D1C">
        <w:rPr>
          <w:rFonts w:asciiTheme="minorHAnsi" w:hAnsiTheme="minorHAnsi"/>
          <w:b/>
          <w:bCs/>
          <w:lang w:val="ru-RU"/>
        </w:rPr>
        <w:t xml:space="preserve">нституты гражданского общества </w:t>
      </w:r>
      <w:r w:rsidRPr="00BF0D1C">
        <w:rPr>
          <w:rFonts w:asciiTheme="minorHAnsi" w:hAnsiTheme="minorHAnsi"/>
          <w:b/>
          <w:bCs/>
          <w:lang w:val="ru-RU"/>
        </w:rPr>
        <w:t xml:space="preserve">и гражданское участие </w:t>
      </w:r>
      <w:r w:rsidR="0073618D" w:rsidRPr="00BF0D1C">
        <w:rPr>
          <w:rFonts w:asciiTheme="minorHAnsi" w:hAnsiTheme="minorHAnsi"/>
          <w:b/>
          <w:bCs/>
          <w:lang w:val="ru-RU"/>
        </w:rPr>
        <w:t xml:space="preserve">в </w:t>
      </w:r>
      <w:r w:rsidR="003D0E9E" w:rsidRPr="00BF0D1C">
        <w:rPr>
          <w:rFonts w:asciiTheme="minorHAnsi" w:hAnsiTheme="minorHAnsi"/>
          <w:b/>
          <w:bCs/>
          <w:lang w:val="ru-RU"/>
        </w:rPr>
        <w:t>общественном мнении</w:t>
      </w:r>
      <w:r w:rsidR="00F10303" w:rsidRPr="00BF0D1C">
        <w:rPr>
          <w:rFonts w:asciiTheme="minorHAnsi" w:hAnsiTheme="minorHAnsi"/>
          <w:b/>
          <w:bCs/>
          <w:lang w:val="ru-RU"/>
        </w:rPr>
        <w:t xml:space="preserve"> </w:t>
      </w:r>
      <w:r w:rsidR="00B54423" w:rsidRPr="00BF0D1C">
        <w:rPr>
          <w:rFonts w:asciiTheme="minorHAnsi" w:hAnsiTheme="minorHAnsi"/>
          <w:b/>
          <w:bCs/>
          <w:lang w:val="ru-RU"/>
        </w:rPr>
        <w:t>на Северном Кавказе</w:t>
      </w:r>
      <w:r w:rsidR="00F10303" w:rsidRPr="00BF0D1C">
        <w:rPr>
          <w:rFonts w:asciiTheme="minorHAnsi" w:hAnsiTheme="minorHAnsi"/>
          <w:b/>
          <w:bCs/>
          <w:lang w:val="ru-RU"/>
        </w:rPr>
        <w:t>: на примере Кабардино-Балкарии и Карачаево-Черкесии</w:t>
      </w:r>
      <w:r w:rsidR="00540969" w:rsidRPr="00BF0D1C">
        <w:rPr>
          <w:rStyle w:val="a5"/>
          <w:rFonts w:asciiTheme="minorHAnsi" w:hAnsiTheme="minorHAnsi"/>
          <w:bCs/>
          <w:lang w:val="ru-RU"/>
        </w:rPr>
        <w:footnoteReference w:id="1"/>
      </w:r>
    </w:p>
    <w:p w:rsidR="0073618D" w:rsidRPr="00F8199B" w:rsidRDefault="0073618D" w:rsidP="001A1A03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/>
          <w:b/>
          <w:lang w:val="ru-RU"/>
        </w:rPr>
      </w:pPr>
    </w:p>
    <w:p w:rsidR="00D12CB0" w:rsidRDefault="00A562E8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Г</w:t>
      </w:r>
      <w:r w:rsidR="00B54423" w:rsidRPr="00F8199B">
        <w:rPr>
          <w:rFonts w:asciiTheme="minorHAnsi" w:hAnsiTheme="minorHAnsi"/>
          <w:lang w:val="ru-RU"/>
        </w:rPr>
        <w:t>ражданско</w:t>
      </w:r>
      <w:r w:rsidR="00DD6C7A" w:rsidRPr="00F8199B">
        <w:rPr>
          <w:rFonts w:asciiTheme="minorHAnsi" w:hAnsiTheme="minorHAnsi"/>
          <w:lang w:val="ru-RU"/>
        </w:rPr>
        <w:t>е</w:t>
      </w:r>
      <w:r w:rsidR="00B54423" w:rsidRPr="00F8199B">
        <w:rPr>
          <w:rFonts w:asciiTheme="minorHAnsi" w:hAnsiTheme="minorHAnsi"/>
          <w:lang w:val="ru-RU"/>
        </w:rPr>
        <w:t xml:space="preserve"> обществ</w:t>
      </w:r>
      <w:r w:rsidR="00DD6C7A" w:rsidRPr="00F8199B">
        <w:rPr>
          <w:rFonts w:asciiTheme="minorHAnsi" w:hAnsiTheme="minorHAnsi"/>
          <w:lang w:val="ru-RU"/>
        </w:rPr>
        <w:t>о</w:t>
      </w:r>
      <w:r w:rsidR="00B54423" w:rsidRPr="00F8199B">
        <w:rPr>
          <w:rFonts w:asciiTheme="minorHAnsi" w:hAnsiTheme="minorHAnsi"/>
          <w:lang w:val="ru-RU"/>
        </w:rPr>
        <w:t xml:space="preserve"> на Северном Кавказе является одним из </w:t>
      </w:r>
      <w:r w:rsidR="00E50E80" w:rsidRPr="00F8199B">
        <w:rPr>
          <w:rFonts w:asciiTheme="minorHAnsi" w:hAnsiTheme="minorHAnsi"/>
          <w:lang w:val="ru-RU"/>
        </w:rPr>
        <w:t>наиболее актуальных</w:t>
      </w:r>
      <w:r w:rsidR="00B54423" w:rsidRPr="00F8199B">
        <w:rPr>
          <w:rFonts w:asciiTheme="minorHAnsi" w:hAnsiTheme="minorHAnsi"/>
          <w:lang w:val="ru-RU"/>
        </w:rPr>
        <w:t xml:space="preserve"> </w:t>
      </w:r>
      <w:r w:rsidR="00D6158A" w:rsidRPr="00F8199B">
        <w:rPr>
          <w:rFonts w:asciiTheme="minorHAnsi" w:hAnsiTheme="minorHAnsi"/>
          <w:lang w:val="ru-RU"/>
        </w:rPr>
        <w:t>дискурсов</w:t>
      </w:r>
      <w:r w:rsidR="00B54423" w:rsidRPr="00F8199B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 xml:space="preserve">однако </w:t>
      </w:r>
      <w:r w:rsidR="00B54423" w:rsidRPr="00F8199B">
        <w:rPr>
          <w:rFonts w:asciiTheme="minorHAnsi" w:hAnsiTheme="minorHAnsi"/>
          <w:lang w:val="ru-RU"/>
        </w:rPr>
        <w:t xml:space="preserve">связанные с ним дебаты представляют собой лишь </w:t>
      </w:r>
      <w:r w:rsidR="00D6158A" w:rsidRPr="00F8199B">
        <w:rPr>
          <w:rFonts w:asciiTheme="minorHAnsi" w:hAnsiTheme="minorHAnsi"/>
          <w:lang w:val="ru-RU"/>
        </w:rPr>
        <w:t xml:space="preserve">некую </w:t>
      </w:r>
      <w:r w:rsidR="00947520" w:rsidRPr="00F8199B">
        <w:rPr>
          <w:rFonts w:asciiTheme="minorHAnsi" w:hAnsiTheme="minorHAnsi"/>
          <w:lang w:val="ru-RU"/>
        </w:rPr>
        <w:t>ойкумену</w:t>
      </w:r>
      <w:r w:rsidR="00D6158A" w:rsidRPr="00F8199B">
        <w:rPr>
          <w:rFonts w:asciiTheme="minorHAnsi" w:hAnsiTheme="minorHAnsi"/>
          <w:lang w:val="ru-RU"/>
        </w:rPr>
        <w:t>,</w:t>
      </w:r>
      <w:r w:rsidR="00947520" w:rsidRPr="00F8199B">
        <w:rPr>
          <w:rFonts w:asciiTheme="minorHAnsi" w:hAnsiTheme="minorHAnsi"/>
          <w:lang w:val="ru-RU"/>
        </w:rPr>
        <w:t xml:space="preserve"> </w:t>
      </w:r>
      <w:r w:rsidR="00DD6C7A" w:rsidRPr="00F8199B">
        <w:rPr>
          <w:rFonts w:asciiTheme="minorHAnsi" w:hAnsiTheme="minorHAnsi"/>
          <w:lang w:val="ru-RU"/>
        </w:rPr>
        <w:t xml:space="preserve">ограниченную </w:t>
      </w:r>
      <w:r w:rsidR="00947520" w:rsidRPr="00F8199B">
        <w:rPr>
          <w:rFonts w:asciiTheme="minorHAnsi" w:hAnsiTheme="minorHAnsi"/>
          <w:lang w:val="ru-RU"/>
        </w:rPr>
        <w:t>традиционн</w:t>
      </w:r>
      <w:r w:rsidR="00DD6C7A" w:rsidRPr="00F8199B">
        <w:rPr>
          <w:rFonts w:asciiTheme="minorHAnsi" w:hAnsiTheme="minorHAnsi"/>
          <w:lang w:val="ru-RU"/>
        </w:rPr>
        <w:t>ым</w:t>
      </w:r>
      <w:r w:rsidR="00947520" w:rsidRPr="00F8199B">
        <w:rPr>
          <w:rFonts w:asciiTheme="minorHAnsi" w:hAnsiTheme="minorHAnsi"/>
          <w:lang w:val="ru-RU"/>
        </w:rPr>
        <w:t xml:space="preserve"> понима</w:t>
      </w:r>
      <w:r w:rsidR="00DD6C7A" w:rsidRPr="00F8199B">
        <w:rPr>
          <w:rFonts w:asciiTheme="minorHAnsi" w:hAnsiTheme="minorHAnsi"/>
          <w:lang w:val="ru-RU"/>
        </w:rPr>
        <w:t>ем</w:t>
      </w:r>
      <w:r w:rsidR="00947520" w:rsidRPr="00F8199B">
        <w:rPr>
          <w:rFonts w:asciiTheme="minorHAnsi" w:hAnsiTheme="minorHAnsi"/>
          <w:lang w:val="ru-RU"/>
        </w:rPr>
        <w:t xml:space="preserve"> гражданск</w:t>
      </w:r>
      <w:r w:rsidR="00DD6C7A" w:rsidRPr="00F8199B">
        <w:rPr>
          <w:rFonts w:asciiTheme="minorHAnsi" w:hAnsiTheme="minorHAnsi"/>
          <w:lang w:val="ru-RU"/>
        </w:rPr>
        <w:t>ого</w:t>
      </w:r>
      <w:r w:rsidR="00947520" w:rsidRPr="00F8199B">
        <w:rPr>
          <w:rFonts w:asciiTheme="minorHAnsi" w:hAnsiTheme="minorHAnsi"/>
          <w:lang w:val="ru-RU"/>
        </w:rPr>
        <w:t xml:space="preserve"> обществ</w:t>
      </w:r>
      <w:r w:rsidR="00DD6C7A" w:rsidRPr="00F8199B">
        <w:rPr>
          <w:rFonts w:asciiTheme="minorHAnsi" w:hAnsiTheme="minorHAnsi"/>
          <w:lang w:val="ru-RU"/>
        </w:rPr>
        <w:t>а</w:t>
      </w:r>
      <w:r w:rsidR="00D6158A" w:rsidRPr="00F8199B">
        <w:rPr>
          <w:rFonts w:asciiTheme="minorHAnsi" w:hAnsiTheme="minorHAnsi"/>
          <w:lang w:val="ru-RU"/>
        </w:rPr>
        <w:t xml:space="preserve"> как ключевого показателя демократизации </w:t>
      </w:r>
      <w:r w:rsidR="002A0429" w:rsidRPr="00F8199B">
        <w:rPr>
          <w:rFonts w:asciiTheme="minorHAnsi" w:hAnsiTheme="minorHAnsi"/>
          <w:lang w:val="ru-RU"/>
        </w:rPr>
        <w:t>политической системы</w:t>
      </w:r>
      <w:r w:rsidR="00D6158A" w:rsidRPr="00F8199B">
        <w:rPr>
          <w:rFonts w:asciiTheme="minorHAnsi" w:hAnsiTheme="minorHAnsi"/>
          <w:lang w:val="ru-RU"/>
        </w:rPr>
        <w:t>.</w:t>
      </w:r>
      <w:r w:rsidR="00B52F5F" w:rsidRPr="00F8199B">
        <w:rPr>
          <w:rFonts w:asciiTheme="minorHAnsi" w:hAnsiTheme="minorHAnsi"/>
          <w:lang w:val="ru-RU"/>
        </w:rPr>
        <w:t xml:space="preserve"> К сожалению, наиболее</w:t>
      </w:r>
      <w:r w:rsidR="00B54423" w:rsidRPr="00F8199B">
        <w:rPr>
          <w:rFonts w:asciiTheme="minorHAnsi" w:hAnsiTheme="minorHAnsi"/>
          <w:lang w:val="ru-RU"/>
        </w:rPr>
        <w:t xml:space="preserve"> интересная с аналитической точки зрения </w:t>
      </w:r>
      <w:r w:rsidR="00B52F5F" w:rsidRPr="00F8199B">
        <w:rPr>
          <w:rFonts w:asciiTheme="minorHAnsi" w:hAnsiTheme="minorHAnsi"/>
          <w:lang w:val="ru-RU"/>
        </w:rPr>
        <w:t>сторона этой проблематики</w:t>
      </w:r>
      <w:r w:rsidR="00B54423" w:rsidRPr="00F8199B">
        <w:rPr>
          <w:rFonts w:asciiTheme="minorHAnsi" w:hAnsiTheme="minorHAnsi"/>
          <w:lang w:val="ru-RU"/>
        </w:rPr>
        <w:t>, представленная локальными моделями и проявлениями гражданского общества, привлекает гораздо меньш</w:t>
      </w:r>
      <w:r w:rsidR="00B40DF9" w:rsidRPr="00F8199B">
        <w:rPr>
          <w:rFonts w:asciiTheme="minorHAnsi" w:hAnsiTheme="minorHAnsi"/>
          <w:lang w:val="ru-RU"/>
        </w:rPr>
        <w:t>ее</w:t>
      </w:r>
      <w:r w:rsidR="00B54423" w:rsidRPr="00F8199B">
        <w:rPr>
          <w:rFonts w:asciiTheme="minorHAnsi" w:hAnsiTheme="minorHAnsi"/>
          <w:lang w:val="ru-RU"/>
        </w:rPr>
        <w:t xml:space="preserve"> </w:t>
      </w:r>
      <w:r w:rsidR="00B40DF9" w:rsidRPr="00F8199B">
        <w:rPr>
          <w:rFonts w:asciiTheme="minorHAnsi" w:hAnsiTheme="minorHAnsi"/>
          <w:lang w:val="ru-RU"/>
        </w:rPr>
        <w:t>внимание</w:t>
      </w:r>
      <w:r w:rsidR="00B54423" w:rsidRPr="00F8199B">
        <w:rPr>
          <w:rFonts w:asciiTheme="minorHAnsi" w:hAnsiTheme="minorHAnsi"/>
          <w:lang w:val="ru-RU"/>
        </w:rPr>
        <w:t xml:space="preserve"> исследователей.</w:t>
      </w:r>
      <w:r w:rsidR="000816C5" w:rsidRPr="00F8199B">
        <w:rPr>
          <w:rFonts w:asciiTheme="minorHAnsi" w:hAnsiTheme="minorHAnsi"/>
          <w:lang w:val="ru-RU"/>
        </w:rPr>
        <w:t xml:space="preserve"> </w:t>
      </w:r>
    </w:p>
    <w:p w:rsidR="00B54423" w:rsidRPr="00F8199B" w:rsidRDefault="00D12CB0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Н</w:t>
      </w:r>
      <w:r w:rsidRPr="00F8199B">
        <w:rPr>
          <w:rFonts w:asciiTheme="minorHAnsi" w:hAnsiTheme="minorHAnsi"/>
          <w:lang w:val="ru-RU"/>
        </w:rPr>
        <w:t>есмотря на «недостаточно демократические» с конвенциональной точки зрения, основы местных систем управления</w:t>
      </w:r>
      <w:r>
        <w:rPr>
          <w:rFonts w:asciiTheme="minorHAnsi" w:hAnsiTheme="minorHAnsi"/>
          <w:lang w:val="ru-RU"/>
        </w:rPr>
        <w:t>,</w:t>
      </w:r>
      <w:r w:rsidRPr="00F8199B">
        <w:rPr>
          <w:rFonts w:asciiTheme="minorHAnsi" w:hAnsiTheme="minorHAnsi"/>
          <w:lang w:val="ru-RU"/>
        </w:rPr>
        <w:t xml:space="preserve"> неформальные, но глубоко укоренившиеся способы гражданского участия привносят существенный вклад в обеспечение локальной стабильности </w:t>
      </w:r>
      <w:r>
        <w:rPr>
          <w:rFonts w:asciiTheme="minorHAnsi" w:hAnsiTheme="minorHAnsi"/>
          <w:lang w:val="ru-RU"/>
        </w:rPr>
        <w:t>в регионе</w:t>
      </w:r>
      <w:r w:rsidRPr="00F8199B">
        <w:rPr>
          <w:rFonts w:asciiTheme="minorHAnsi" w:hAnsiTheme="minorHAnsi"/>
          <w:lang w:val="ru-RU"/>
        </w:rPr>
        <w:t xml:space="preserve">. </w:t>
      </w:r>
      <w:r w:rsidR="000816C5" w:rsidRPr="00F8199B">
        <w:rPr>
          <w:rFonts w:asciiTheme="minorHAnsi" w:hAnsiTheme="minorHAnsi"/>
          <w:lang w:val="ru-RU"/>
        </w:rPr>
        <w:t>Особый интерес, на наш взгляд, ненормативн</w:t>
      </w:r>
      <w:r w:rsidR="00A562E8">
        <w:rPr>
          <w:rFonts w:asciiTheme="minorHAnsi" w:hAnsiTheme="minorHAnsi"/>
          <w:lang w:val="ru-RU"/>
        </w:rPr>
        <w:t>ый</w:t>
      </w:r>
      <w:r w:rsidR="000816C5" w:rsidRPr="00F8199B">
        <w:rPr>
          <w:rFonts w:asciiTheme="minorHAnsi" w:hAnsiTheme="minorHAnsi"/>
          <w:lang w:val="ru-RU"/>
        </w:rPr>
        <w:t xml:space="preserve"> </w:t>
      </w:r>
      <w:r w:rsidR="00A562E8">
        <w:rPr>
          <w:rFonts w:asciiTheme="minorHAnsi" w:hAnsiTheme="minorHAnsi"/>
          <w:lang w:val="ru-RU"/>
        </w:rPr>
        <w:t>подход к изучению</w:t>
      </w:r>
      <w:r w:rsidR="000816C5" w:rsidRPr="00F8199B">
        <w:rPr>
          <w:rFonts w:asciiTheme="minorHAnsi" w:hAnsiTheme="minorHAnsi"/>
          <w:lang w:val="ru-RU"/>
        </w:rPr>
        <w:t xml:space="preserve"> и</w:t>
      </w:r>
      <w:r w:rsidR="007343A6" w:rsidRPr="00F8199B">
        <w:rPr>
          <w:rFonts w:asciiTheme="minorHAnsi" w:hAnsiTheme="minorHAnsi"/>
          <w:lang w:val="ru-RU"/>
        </w:rPr>
        <w:t>нститут</w:t>
      </w:r>
      <w:r w:rsidR="00A562E8">
        <w:rPr>
          <w:rFonts w:asciiTheme="minorHAnsi" w:hAnsiTheme="minorHAnsi"/>
          <w:lang w:val="ru-RU"/>
        </w:rPr>
        <w:t>ов</w:t>
      </w:r>
      <w:r w:rsidR="007343A6" w:rsidRPr="00F8199B">
        <w:rPr>
          <w:rFonts w:asciiTheme="minorHAnsi" w:hAnsiTheme="minorHAnsi"/>
          <w:lang w:val="ru-RU"/>
        </w:rPr>
        <w:t xml:space="preserve"> гражданского общества </w:t>
      </w:r>
      <w:r w:rsidR="00B40DF9" w:rsidRPr="00F8199B">
        <w:rPr>
          <w:rFonts w:asciiTheme="minorHAnsi" w:hAnsiTheme="minorHAnsi"/>
          <w:lang w:val="ru-RU"/>
        </w:rPr>
        <w:t xml:space="preserve">приобретает </w:t>
      </w:r>
      <w:r w:rsidR="007343A6" w:rsidRPr="00F8199B">
        <w:rPr>
          <w:rFonts w:asciiTheme="minorHAnsi" w:hAnsiTheme="minorHAnsi"/>
          <w:lang w:val="ru-RU"/>
        </w:rPr>
        <w:t xml:space="preserve">в контексте представлений о гибридном характере </w:t>
      </w:r>
      <w:r w:rsidR="00D36A97" w:rsidRPr="00F8199B">
        <w:rPr>
          <w:rFonts w:asciiTheme="minorHAnsi" w:hAnsiTheme="minorHAnsi"/>
          <w:lang w:val="ru-RU"/>
        </w:rPr>
        <w:t xml:space="preserve">систем государственного управления </w:t>
      </w:r>
      <w:r w:rsidR="00EB54D9" w:rsidRPr="00F8199B">
        <w:rPr>
          <w:rFonts w:asciiTheme="minorHAnsi" w:hAnsiTheme="minorHAnsi"/>
          <w:lang w:val="ru-RU"/>
        </w:rPr>
        <w:t xml:space="preserve">и самоуправления </w:t>
      </w:r>
      <w:r w:rsidR="00D36A97" w:rsidRPr="00F8199B">
        <w:rPr>
          <w:rFonts w:asciiTheme="minorHAnsi" w:hAnsiTheme="minorHAnsi"/>
          <w:lang w:val="ru-RU"/>
        </w:rPr>
        <w:t xml:space="preserve">в различных </w:t>
      </w:r>
      <w:r>
        <w:rPr>
          <w:rFonts w:asciiTheme="minorHAnsi" w:hAnsiTheme="minorHAnsi"/>
          <w:lang w:val="ru-RU"/>
        </w:rPr>
        <w:t>республиках</w:t>
      </w:r>
      <w:r w:rsidR="00D36A97" w:rsidRPr="00F8199B">
        <w:rPr>
          <w:rFonts w:asciiTheme="minorHAnsi" w:hAnsiTheme="minorHAnsi"/>
          <w:lang w:val="ru-RU"/>
        </w:rPr>
        <w:t xml:space="preserve"> Северном Кавказе</w:t>
      </w:r>
      <w:r w:rsidR="00EB54D9" w:rsidRPr="00F8199B">
        <w:rPr>
          <w:rFonts w:asciiTheme="minorHAnsi" w:hAnsiTheme="minorHAnsi"/>
          <w:lang w:val="ru-RU"/>
        </w:rPr>
        <w:t>.</w:t>
      </w:r>
      <w:r w:rsidR="00536B9A">
        <w:rPr>
          <w:rFonts w:asciiTheme="minorHAnsi" w:hAnsiTheme="minorHAnsi"/>
          <w:lang w:val="ru-RU"/>
        </w:rPr>
        <w:t xml:space="preserve"> </w:t>
      </w:r>
      <w:r w:rsidR="00251BB8" w:rsidRPr="00F8199B">
        <w:rPr>
          <w:rFonts w:asciiTheme="minorHAnsi" w:hAnsiTheme="minorHAnsi"/>
          <w:lang w:val="ru-RU"/>
        </w:rPr>
        <w:t>И</w:t>
      </w:r>
      <w:r w:rsidR="00EB54D9" w:rsidRPr="00F8199B">
        <w:rPr>
          <w:rFonts w:asciiTheme="minorHAnsi" w:hAnsiTheme="minorHAnsi"/>
          <w:lang w:val="ru-RU"/>
        </w:rPr>
        <w:t>нституциональная гибридность</w:t>
      </w:r>
      <w:r w:rsidR="00D36A97" w:rsidRPr="00F8199B">
        <w:rPr>
          <w:rFonts w:asciiTheme="minorHAnsi" w:hAnsiTheme="minorHAnsi"/>
          <w:lang w:val="ru-RU"/>
        </w:rPr>
        <w:t xml:space="preserve"> </w:t>
      </w:r>
      <w:r w:rsidR="00EB54D9" w:rsidRPr="00F8199B">
        <w:rPr>
          <w:rFonts w:asciiTheme="minorHAnsi" w:hAnsiTheme="minorHAnsi"/>
          <w:lang w:val="ru-RU"/>
        </w:rPr>
        <w:t xml:space="preserve">выражается в одновременном сосуществовании </w:t>
      </w:r>
      <w:r w:rsidR="00D36A97" w:rsidRPr="00F8199B">
        <w:rPr>
          <w:rFonts w:asciiTheme="minorHAnsi" w:hAnsiTheme="minorHAnsi"/>
          <w:lang w:val="ru-RU"/>
        </w:rPr>
        <w:t>как формальны</w:t>
      </w:r>
      <w:r w:rsidR="00EB54D9" w:rsidRPr="00F8199B">
        <w:rPr>
          <w:rFonts w:asciiTheme="minorHAnsi" w:hAnsiTheme="minorHAnsi"/>
          <w:lang w:val="ru-RU"/>
        </w:rPr>
        <w:t>х</w:t>
      </w:r>
      <w:r w:rsidR="00D36A97" w:rsidRPr="00F8199B">
        <w:rPr>
          <w:rFonts w:asciiTheme="minorHAnsi" w:hAnsiTheme="minorHAnsi"/>
          <w:lang w:val="ru-RU"/>
        </w:rPr>
        <w:t xml:space="preserve"> </w:t>
      </w:r>
      <w:r w:rsidR="00273B48">
        <w:rPr>
          <w:rFonts w:asciiTheme="minorHAnsi" w:hAnsiTheme="minorHAnsi"/>
          <w:lang w:val="ru-RU"/>
        </w:rPr>
        <w:t>официальных</w:t>
      </w:r>
      <w:r w:rsidR="00B40DF9" w:rsidRPr="00F8199B">
        <w:rPr>
          <w:rFonts w:asciiTheme="minorHAnsi" w:hAnsiTheme="minorHAnsi"/>
          <w:lang w:val="ru-RU"/>
        </w:rPr>
        <w:t xml:space="preserve"> </w:t>
      </w:r>
      <w:r w:rsidR="00D36A97" w:rsidRPr="00F8199B">
        <w:rPr>
          <w:rFonts w:asciiTheme="minorHAnsi" w:hAnsiTheme="minorHAnsi"/>
          <w:lang w:val="ru-RU"/>
        </w:rPr>
        <w:t>институт</w:t>
      </w:r>
      <w:r w:rsidR="00EB54D9" w:rsidRPr="00F8199B">
        <w:rPr>
          <w:rFonts w:asciiTheme="minorHAnsi" w:hAnsiTheme="minorHAnsi"/>
          <w:lang w:val="ru-RU"/>
        </w:rPr>
        <w:t>ов</w:t>
      </w:r>
      <w:r w:rsidR="00D36A97" w:rsidRPr="00F8199B">
        <w:rPr>
          <w:rFonts w:asciiTheme="minorHAnsi" w:hAnsiTheme="minorHAnsi"/>
          <w:lang w:val="ru-RU"/>
        </w:rPr>
        <w:t xml:space="preserve"> и правил, так и </w:t>
      </w:r>
      <w:r w:rsidR="003906AF" w:rsidRPr="00F8199B">
        <w:rPr>
          <w:rFonts w:asciiTheme="minorHAnsi" w:hAnsiTheme="minorHAnsi"/>
          <w:lang w:val="ru-RU"/>
        </w:rPr>
        <w:t xml:space="preserve">различных </w:t>
      </w:r>
      <w:r w:rsidR="00D36A97" w:rsidRPr="00F8199B">
        <w:rPr>
          <w:rFonts w:asciiTheme="minorHAnsi" w:hAnsiTheme="minorHAnsi"/>
          <w:lang w:val="ru-RU"/>
        </w:rPr>
        <w:t>неформальны</w:t>
      </w:r>
      <w:r w:rsidR="00EB54D9" w:rsidRPr="00F8199B">
        <w:rPr>
          <w:rFonts w:asciiTheme="minorHAnsi" w:hAnsiTheme="minorHAnsi"/>
          <w:lang w:val="ru-RU"/>
        </w:rPr>
        <w:t>х</w:t>
      </w:r>
      <w:r w:rsidR="00D36A97" w:rsidRPr="00F8199B">
        <w:rPr>
          <w:rFonts w:asciiTheme="minorHAnsi" w:hAnsiTheme="minorHAnsi"/>
          <w:lang w:val="ru-RU"/>
        </w:rPr>
        <w:t>, традиционны</w:t>
      </w:r>
      <w:r w:rsidR="00B40DF9" w:rsidRPr="00F8199B">
        <w:rPr>
          <w:rFonts w:asciiTheme="minorHAnsi" w:hAnsiTheme="minorHAnsi"/>
          <w:lang w:val="ru-RU"/>
        </w:rPr>
        <w:t>х</w:t>
      </w:r>
      <w:r w:rsidR="00D36A97" w:rsidRPr="00F8199B">
        <w:rPr>
          <w:rFonts w:asciiTheme="minorHAnsi" w:hAnsiTheme="minorHAnsi"/>
          <w:lang w:val="ru-RU"/>
        </w:rPr>
        <w:t xml:space="preserve"> </w:t>
      </w:r>
      <w:r w:rsidR="00251BB8" w:rsidRPr="00F8199B">
        <w:rPr>
          <w:rFonts w:asciiTheme="minorHAnsi" w:hAnsiTheme="minorHAnsi"/>
          <w:lang w:val="ru-RU"/>
        </w:rPr>
        <w:t>для</w:t>
      </w:r>
      <w:r w:rsidR="00EB54D9" w:rsidRPr="00F8199B">
        <w:rPr>
          <w:rFonts w:asciiTheme="minorHAnsi" w:hAnsiTheme="minorHAnsi"/>
          <w:lang w:val="ru-RU"/>
        </w:rPr>
        <w:t xml:space="preserve"> местных сообществ </w:t>
      </w:r>
      <w:r w:rsidR="00D36A97" w:rsidRPr="00F8199B">
        <w:rPr>
          <w:rFonts w:asciiTheme="minorHAnsi" w:hAnsiTheme="minorHAnsi"/>
          <w:lang w:val="ru-RU"/>
        </w:rPr>
        <w:t>регион</w:t>
      </w:r>
      <w:r w:rsidR="00251BB8" w:rsidRPr="00F8199B">
        <w:rPr>
          <w:rFonts w:asciiTheme="minorHAnsi" w:hAnsiTheme="minorHAnsi"/>
          <w:lang w:val="ru-RU"/>
        </w:rPr>
        <w:t>а</w:t>
      </w:r>
      <w:r w:rsidR="00D36A97" w:rsidRPr="00F8199B">
        <w:rPr>
          <w:rFonts w:asciiTheme="minorHAnsi" w:hAnsiTheme="minorHAnsi"/>
          <w:lang w:val="ru-RU"/>
        </w:rPr>
        <w:t xml:space="preserve"> модел</w:t>
      </w:r>
      <w:r w:rsidR="00EB54D9" w:rsidRPr="00F8199B">
        <w:rPr>
          <w:rFonts w:asciiTheme="minorHAnsi" w:hAnsiTheme="minorHAnsi"/>
          <w:lang w:val="ru-RU"/>
        </w:rPr>
        <w:t xml:space="preserve">ей </w:t>
      </w:r>
      <w:r w:rsidR="00251BB8" w:rsidRPr="00F8199B">
        <w:rPr>
          <w:rFonts w:asciiTheme="minorHAnsi" w:hAnsiTheme="minorHAnsi"/>
          <w:lang w:val="ru-RU"/>
        </w:rPr>
        <w:t xml:space="preserve">и практик </w:t>
      </w:r>
      <w:r w:rsidR="00EB54D9" w:rsidRPr="00F8199B">
        <w:rPr>
          <w:rFonts w:asciiTheme="minorHAnsi" w:hAnsiTheme="minorHAnsi"/>
          <w:lang w:val="ru-RU"/>
        </w:rPr>
        <w:t xml:space="preserve">социального </w:t>
      </w:r>
      <w:r w:rsidR="00251BB8" w:rsidRPr="00F8199B">
        <w:rPr>
          <w:rFonts w:asciiTheme="minorHAnsi" w:hAnsiTheme="minorHAnsi"/>
          <w:lang w:val="ru-RU"/>
        </w:rPr>
        <w:t>и гражданского участия</w:t>
      </w:r>
      <w:r w:rsidR="00D36A97" w:rsidRPr="00F8199B">
        <w:rPr>
          <w:rFonts w:asciiTheme="minorHAnsi" w:hAnsiTheme="minorHAnsi"/>
          <w:lang w:val="ru-RU"/>
        </w:rPr>
        <w:t>.</w:t>
      </w:r>
      <w:r w:rsidR="00D060B2" w:rsidRPr="00F8199B">
        <w:rPr>
          <w:rStyle w:val="a5"/>
          <w:rFonts w:asciiTheme="minorHAnsi" w:hAnsiTheme="minorHAnsi"/>
          <w:lang w:val="ru-RU"/>
        </w:rPr>
        <w:footnoteReference w:id="2"/>
      </w:r>
      <w:r w:rsidR="00536B9A">
        <w:rPr>
          <w:rFonts w:asciiTheme="minorHAnsi" w:hAnsiTheme="minorHAnsi"/>
          <w:lang w:val="ru-RU"/>
        </w:rPr>
        <w:t xml:space="preserve"> </w:t>
      </w:r>
      <w:proofErr w:type="gramStart"/>
      <w:r w:rsidR="00536B9A">
        <w:rPr>
          <w:rFonts w:asciiTheme="minorHAnsi" w:hAnsiTheme="minorHAnsi"/>
          <w:lang w:val="ru-RU"/>
        </w:rPr>
        <w:t>В</w:t>
      </w:r>
      <w:r w:rsidR="008760A8" w:rsidRPr="00F8199B">
        <w:rPr>
          <w:rFonts w:asciiTheme="minorHAnsi" w:hAnsiTheme="minorHAnsi"/>
          <w:lang w:val="ru-RU"/>
        </w:rPr>
        <w:t xml:space="preserve"> условиях слабого присутствия институционального государства на местном уровне субъектов региона</w:t>
      </w:r>
      <w:r w:rsidR="00FF2B56" w:rsidRPr="00F8199B">
        <w:rPr>
          <w:rFonts w:asciiTheme="minorHAnsi" w:hAnsiTheme="minorHAnsi"/>
          <w:lang w:val="ru-RU"/>
        </w:rPr>
        <w:t>,</w:t>
      </w:r>
      <w:r w:rsidR="008760A8" w:rsidRPr="00F8199B">
        <w:rPr>
          <w:rFonts w:asciiTheme="minorHAnsi" w:hAnsiTheme="minorHAnsi"/>
          <w:lang w:val="ru-RU"/>
        </w:rPr>
        <w:t xml:space="preserve"> </w:t>
      </w:r>
      <w:r w:rsidR="00FF2B56" w:rsidRPr="00F8199B">
        <w:rPr>
          <w:rFonts w:asciiTheme="minorHAnsi" w:hAnsiTheme="minorHAnsi"/>
          <w:lang w:val="ru-RU"/>
        </w:rPr>
        <w:t xml:space="preserve">где контроль над распределением власти и ресурсов </w:t>
      </w:r>
      <w:r w:rsidR="003906AF">
        <w:rPr>
          <w:rFonts w:asciiTheme="minorHAnsi" w:hAnsiTheme="minorHAnsi"/>
          <w:lang w:val="ru-RU"/>
        </w:rPr>
        <w:t>порой</w:t>
      </w:r>
      <w:r w:rsidR="00FF2B56" w:rsidRPr="00F8199B">
        <w:rPr>
          <w:rFonts w:asciiTheme="minorHAnsi" w:hAnsiTheme="minorHAnsi"/>
          <w:lang w:val="ru-RU"/>
        </w:rPr>
        <w:t xml:space="preserve"> ограничен</w:t>
      </w:r>
      <w:r w:rsidR="00536B9A">
        <w:rPr>
          <w:rFonts w:asciiTheme="minorHAnsi" w:hAnsiTheme="minorHAnsi"/>
          <w:lang w:val="ru-RU"/>
        </w:rPr>
        <w:t xml:space="preserve">, эти практики </w:t>
      </w:r>
      <w:r w:rsidR="00536B9A" w:rsidRPr="00F8199B">
        <w:rPr>
          <w:rFonts w:asciiTheme="minorHAnsi" w:hAnsiTheme="minorHAnsi"/>
          <w:lang w:val="ru-RU"/>
        </w:rPr>
        <w:t xml:space="preserve">ежедневно </w:t>
      </w:r>
      <w:r w:rsidR="00536B9A">
        <w:rPr>
          <w:rFonts w:asciiTheme="minorHAnsi" w:hAnsiTheme="minorHAnsi"/>
          <w:lang w:val="ru-RU"/>
        </w:rPr>
        <w:t>разрешают</w:t>
      </w:r>
      <w:r w:rsidR="00536B9A" w:rsidRPr="00F8199B">
        <w:rPr>
          <w:rFonts w:asciiTheme="minorHAnsi" w:hAnsiTheme="minorHAnsi"/>
          <w:lang w:val="ru-RU"/>
        </w:rPr>
        <w:t xml:space="preserve"> </w:t>
      </w:r>
      <w:r w:rsidR="00536B9A">
        <w:rPr>
          <w:rFonts w:asciiTheme="minorHAnsi" w:hAnsiTheme="minorHAnsi"/>
          <w:lang w:val="ru-RU"/>
        </w:rPr>
        <w:t xml:space="preserve">наиболее </w:t>
      </w:r>
      <w:r w:rsidR="00536B9A" w:rsidRPr="00F8199B">
        <w:rPr>
          <w:rFonts w:asciiTheme="minorHAnsi" w:hAnsiTheme="minorHAnsi"/>
          <w:lang w:val="ru-RU"/>
        </w:rPr>
        <w:t>актуальны</w:t>
      </w:r>
      <w:r w:rsidR="00536B9A">
        <w:rPr>
          <w:rFonts w:asciiTheme="minorHAnsi" w:hAnsiTheme="minorHAnsi"/>
          <w:lang w:val="ru-RU"/>
        </w:rPr>
        <w:t>е</w:t>
      </w:r>
      <w:r w:rsidR="00536B9A" w:rsidRPr="00F8199B">
        <w:rPr>
          <w:rFonts w:asciiTheme="minorHAnsi" w:hAnsiTheme="minorHAnsi"/>
          <w:lang w:val="ru-RU"/>
        </w:rPr>
        <w:t xml:space="preserve"> для локальных интересов </w:t>
      </w:r>
      <w:r w:rsidR="00A562E8">
        <w:rPr>
          <w:rFonts w:asciiTheme="minorHAnsi" w:hAnsiTheme="minorHAnsi"/>
          <w:lang w:val="ru-RU"/>
        </w:rPr>
        <w:t>проблемы</w:t>
      </w:r>
      <w:r w:rsidR="00536B9A" w:rsidRPr="00F8199B">
        <w:rPr>
          <w:rFonts w:asciiTheme="minorHAnsi" w:hAnsiTheme="minorHAnsi"/>
          <w:lang w:val="ru-RU"/>
        </w:rPr>
        <w:t xml:space="preserve">, </w:t>
      </w:r>
      <w:r w:rsidR="00A562E8" w:rsidRPr="00F8199B">
        <w:rPr>
          <w:rFonts w:asciiTheme="minorHAnsi" w:hAnsiTheme="minorHAnsi"/>
          <w:lang w:val="ru-RU"/>
        </w:rPr>
        <w:t>тем самым, фактически исполня</w:t>
      </w:r>
      <w:r w:rsidR="003906AF">
        <w:rPr>
          <w:rFonts w:asciiTheme="minorHAnsi" w:hAnsiTheme="minorHAnsi"/>
          <w:lang w:val="ru-RU"/>
        </w:rPr>
        <w:t>я</w:t>
      </w:r>
      <w:r w:rsidR="00A562E8" w:rsidRPr="00F8199B">
        <w:rPr>
          <w:rFonts w:asciiTheme="minorHAnsi" w:hAnsiTheme="minorHAnsi"/>
          <w:lang w:val="ru-RU"/>
        </w:rPr>
        <w:t xml:space="preserve"> роль аутентичных для местных сообществ институтов гражданского участия и </w:t>
      </w:r>
      <w:r w:rsidR="00A562E8">
        <w:rPr>
          <w:rFonts w:asciiTheme="minorHAnsi" w:hAnsiTheme="minorHAnsi"/>
          <w:lang w:val="ru-RU"/>
        </w:rPr>
        <w:t>самоуправления</w:t>
      </w:r>
      <w:r w:rsidR="003D0E9E" w:rsidRPr="00F8199B">
        <w:rPr>
          <w:rStyle w:val="a5"/>
          <w:rFonts w:asciiTheme="minorHAnsi" w:hAnsiTheme="minorHAnsi"/>
          <w:lang w:val="ru-RU"/>
        </w:rPr>
        <w:footnoteReference w:id="3"/>
      </w:r>
      <w:r w:rsidR="00A562E8">
        <w:rPr>
          <w:rFonts w:asciiTheme="minorHAnsi" w:hAnsiTheme="minorHAnsi"/>
          <w:lang w:val="ru-RU"/>
        </w:rPr>
        <w:t xml:space="preserve">. </w:t>
      </w:r>
      <w:r w:rsidR="00B54423" w:rsidRPr="00F8199B">
        <w:rPr>
          <w:rFonts w:asciiTheme="minorHAnsi" w:hAnsiTheme="minorHAnsi"/>
          <w:lang w:val="ru-RU"/>
        </w:rPr>
        <w:t>Вместе с тем, в связи с дефицитом подобных исследования на местном уровне на Северном Кавказе, идентифицировать</w:t>
      </w:r>
      <w:proofErr w:type="gramEnd"/>
      <w:r w:rsidR="00B54423" w:rsidRPr="00F8199B">
        <w:rPr>
          <w:rFonts w:asciiTheme="minorHAnsi" w:hAnsiTheme="minorHAnsi"/>
          <w:lang w:val="ru-RU"/>
        </w:rPr>
        <w:t xml:space="preserve"> и выделить стабилизирующи</w:t>
      </w:r>
      <w:r w:rsidR="0019384E" w:rsidRPr="00F8199B">
        <w:rPr>
          <w:rFonts w:asciiTheme="minorHAnsi" w:hAnsiTheme="minorHAnsi"/>
          <w:lang w:val="ru-RU"/>
        </w:rPr>
        <w:t>й потенциал</w:t>
      </w:r>
      <w:r w:rsidR="00B54423" w:rsidRPr="00F8199B">
        <w:rPr>
          <w:rFonts w:asciiTheme="minorHAnsi" w:hAnsiTheme="minorHAnsi"/>
          <w:lang w:val="ru-RU"/>
        </w:rPr>
        <w:t xml:space="preserve"> и дестабилизирующие факторы все еще достаточно сложно.</w:t>
      </w:r>
      <w:r w:rsidR="001D1A61" w:rsidRPr="00F8199B">
        <w:rPr>
          <w:rFonts w:asciiTheme="minorHAnsi" w:hAnsiTheme="minorHAnsi"/>
          <w:lang w:val="ru-RU"/>
        </w:rPr>
        <w:t xml:space="preserve"> </w:t>
      </w:r>
    </w:p>
    <w:p w:rsidR="00A74422" w:rsidRPr="008B3ABE" w:rsidRDefault="0019384E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lang w:val="ru-RU"/>
        </w:rPr>
      </w:pPr>
      <w:r w:rsidRPr="00F8199B">
        <w:rPr>
          <w:rFonts w:asciiTheme="minorHAnsi" w:hAnsiTheme="minorHAnsi"/>
          <w:lang w:val="ru-RU"/>
        </w:rPr>
        <w:t xml:space="preserve">Настоящая работа </w:t>
      </w:r>
      <w:r w:rsidR="00B1404A" w:rsidRPr="00F8199B">
        <w:rPr>
          <w:rFonts w:asciiTheme="minorHAnsi" w:hAnsiTheme="minorHAnsi"/>
          <w:lang w:val="ru-RU"/>
        </w:rPr>
        <w:t>основан</w:t>
      </w:r>
      <w:r w:rsidR="001E15EC">
        <w:rPr>
          <w:rFonts w:asciiTheme="minorHAnsi" w:hAnsiTheme="minorHAnsi"/>
          <w:lang w:val="ru-RU"/>
        </w:rPr>
        <w:t>а</w:t>
      </w:r>
      <w:r w:rsidR="00B1404A" w:rsidRPr="00F8199B">
        <w:rPr>
          <w:rFonts w:asciiTheme="minorHAnsi" w:hAnsiTheme="minorHAnsi"/>
          <w:lang w:val="ru-RU"/>
        </w:rPr>
        <w:t xml:space="preserve"> на</w:t>
      </w:r>
      <w:r w:rsidRPr="00F8199B">
        <w:rPr>
          <w:rFonts w:asciiTheme="minorHAnsi" w:hAnsiTheme="minorHAnsi"/>
          <w:lang w:val="ru-RU"/>
        </w:rPr>
        <w:t xml:space="preserve"> результат</w:t>
      </w:r>
      <w:r w:rsidR="00B1404A" w:rsidRPr="00F8199B">
        <w:rPr>
          <w:rFonts w:asciiTheme="minorHAnsi" w:hAnsiTheme="minorHAnsi"/>
          <w:lang w:val="ru-RU"/>
        </w:rPr>
        <w:t>ах, полученных в ходе</w:t>
      </w:r>
      <w:r w:rsidRPr="00F8199B">
        <w:rPr>
          <w:rFonts w:asciiTheme="minorHAnsi" w:hAnsiTheme="minorHAnsi"/>
          <w:lang w:val="ru-RU"/>
        </w:rPr>
        <w:t xml:space="preserve"> комплексного </w:t>
      </w:r>
      <w:r w:rsidR="002D1863" w:rsidRPr="00F8199B">
        <w:rPr>
          <w:rFonts w:asciiTheme="minorHAnsi" w:hAnsiTheme="minorHAnsi"/>
          <w:lang w:val="ru-RU"/>
        </w:rPr>
        <w:t xml:space="preserve">социологического </w:t>
      </w:r>
      <w:r w:rsidRPr="00F8199B">
        <w:rPr>
          <w:rFonts w:asciiTheme="minorHAnsi" w:hAnsiTheme="minorHAnsi"/>
          <w:lang w:val="ru-RU"/>
        </w:rPr>
        <w:t xml:space="preserve">исследования </w:t>
      </w:r>
      <w:r w:rsidR="002D1863" w:rsidRPr="00F8199B">
        <w:rPr>
          <w:rFonts w:asciiTheme="minorHAnsi" w:hAnsiTheme="minorHAnsi"/>
          <w:lang w:val="ru-RU"/>
        </w:rPr>
        <w:t xml:space="preserve">посвященного </w:t>
      </w:r>
      <w:r w:rsidR="00D060B2" w:rsidRPr="00F8199B">
        <w:rPr>
          <w:rFonts w:asciiTheme="minorHAnsi" w:hAnsiTheme="minorHAnsi"/>
          <w:lang w:val="ru-RU"/>
        </w:rPr>
        <w:t>актуальным проблемам общественной жизни и тенденциям развития гражданского общества, проведенного в Кабардино-Балкарии и Карачаево-Черкесии в 201</w:t>
      </w:r>
      <w:r w:rsidR="00F1409A" w:rsidRPr="00F8199B">
        <w:rPr>
          <w:rFonts w:asciiTheme="minorHAnsi" w:hAnsiTheme="minorHAnsi"/>
          <w:lang w:val="ru-RU"/>
        </w:rPr>
        <w:t>4</w:t>
      </w:r>
      <w:r w:rsidR="00D060B2" w:rsidRPr="00F8199B">
        <w:rPr>
          <w:rFonts w:asciiTheme="minorHAnsi" w:hAnsiTheme="minorHAnsi"/>
          <w:lang w:val="ru-RU"/>
        </w:rPr>
        <w:t>-201</w:t>
      </w:r>
      <w:r w:rsidR="00F1409A" w:rsidRPr="00F8199B">
        <w:rPr>
          <w:rFonts w:asciiTheme="minorHAnsi" w:hAnsiTheme="minorHAnsi"/>
          <w:lang w:val="ru-RU"/>
        </w:rPr>
        <w:t>5</w:t>
      </w:r>
      <w:r w:rsidR="00D060B2" w:rsidRPr="00F8199B">
        <w:rPr>
          <w:rFonts w:asciiTheme="minorHAnsi" w:hAnsiTheme="minorHAnsi"/>
          <w:lang w:val="ru-RU"/>
        </w:rPr>
        <w:t xml:space="preserve"> гг. В основ</w:t>
      </w:r>
      <w:r w:rsidR="00B1404A" w:rsidRPr="00F8199B">
        <w:rPr>
          <w:rFonts w:asciiTheme="minorHAnsi" w:hAnsiTheme="minorHAnsi"/>
          <w:lang w:val="ru-RU"/>
        </w:rPr>
        <w:t>у</w:t>
      </w:r>
      <w:r w:rsidR="00D060B2" w:rsidRPr="00F8199B">
        <w:rPr>
          <w:rFonts w:asciiTheme="minorHAnsi" w:hAnsiTheme="minorHAnsi"/>
          <w:lang w:val="ru-RU"/>
        </w:rPr>
        <w:t xml:space="preserve"> исследования лег </w:t>
      </w:r>
      <w:r w:rsidR="00B54423" w:rsidRPr="00F8199B">
        <w:rPr>
          <w:rFonts w:asciiTheme="minorHAnsi" w:hAnsiTheme="minorHAnsi"/>
          <w:lang w:val="ru-RU"/>
        </w:rPr>
        <w:t xml:space="preserve">оригинальный методологический подход эмпирического </w:t>
      </w:r>
      <w:r w:rsidR="00B1404A" w:rsidRPr="00F8199B">
        <w:rPr>
          <w:rFonts w:asciiTheme="minorHAnsi" w:hAnsiTheme="minorHAnsi"/>
          <w:lang w:val="ru-RU"/>
        </w:rPr>
        <w:t>изучения</w:t>
      </w:r>
      <w:r w:rsidR="00B54423" w:rsidRPr="00F8199B">
        <w:rPr>
          <w:rFonts w:asciiTheme="minorHAnsi" w:hAnsiTheme="minorHAnsi"/>
          <w:lang w:val="ru-RU"/>
        </w:rPr>
        <w:t xml:space="preserve"> </w:t>
      </w:r>
      <w:r w:rsidR="00540969" w:rsidRPr="00F8199B">
        <w:rPr>
          <w:rFonts w:asciiTheme="minorHAnsi" w:hAnsiTheme="minorHAnsi"/>
          <w:lang w:val="ru-RU"/>
        </w:rPr>
        <w:t xml:space="preserve">роли </w:t>
      </w:r>
      <w:r w:rsidR="00B54423" w:rsidRPr="00F8199B">
        <w:rPr>
          <w:rFonts w:asciiTheme="minorHAnsi" w:hAnsiTheme="minorHAnsi"/>
          <w:lang w:val="ru-RU"/>
        </w:rPr>
        <w:t xml:space="preserve">гражданского общества </w:t>
      </w:r>
      <w:r w:rsidR="00540969" w:rsidRPr="00F8199B">
        <w:rPr>
          <w:rFonts w:asciiTheme="minorHAnsi" w:hAnsiTheme="minorHAnsi"/>
          <w:lang w:val="ru-RU"/>
        </w:rPr>
        <w:t>в обеспечении</w:t>
      </w:r>
      <w:r w:rsidR="00B54423" w:rsidRPr="00F8199B">
        <w:rPr>
          <w:rFonts w:asciiTheme="minorHAnsi" w:hAnsiTheme="minorHAnsi"/>
          <w:lang w:val="ru-RU"/>
        </w:rPr>
        <w:t xml:space="preserve"> социальной стабильности на </w:t>
      </w:r>
      <w:r w:rsidR="00540969" w:rsidRPr="00F8199B">
        <w:rPr>
          <w:rFonts w:asciiTheme="minorHAnsi" w:hAnsiTheme="minorHAnsi"/>
          <w:lang w:val="ru-RU"/>
        </w:rPr>
        <w:t xml:space="preserve">уровне </w:t>
      </w:r>
      <w:r w:rsidR="00B54423" w:rsidRPr="00F8199B">
        <w:rPr>
          <w:rFonts w:asciiTheme="minorHAnsi" w:hAnsiTheme="minorHAnsi"/>
          <w:lang w:val="ru-RU"/>
        </w:rPr>
        <w:t>местн</w:t>
      </w:r>
      <w:r w:rsidR="00540969" w:rsidRPr="00F8199B">
        <w:rPr>
          <w:rFonts w:asciiTheme="minorHAnsi" w:hAnsiTheme="minorHAnsi"/>
          <w:lang w:val="ru-RU"/>
        </w:rPr>
        <w:t>ых сообществ</w:t>
      </w:r>
      <w:r w:rsidR="00B54423" w:rsidRPr="00F8199B">
        <w:rPr>
          <w:rFonts w:asciiTheme="minorHAnsi" w:hAnsiTheme="minorHAnsi"/>
          <w:lang w:val="ru-RU"/>
        </w:rPr>
        <w:t>.</w:t>
      </w:r>
      <w:r w:rsidR="00540969" w:rsidRPr="00F8199B">
        <w:rPr>
          <w:rStyle w:val="a5"/>
          <w:rFonts w:asciiTheme="minorHAnsi" w:hAnsiTheme="minorHAnsi"/>
          <w:lang w:val="ru-RU"/>
        </w:rPr>
        <w:footnoteReference w:id="4"/>
      </w:r>
      <w:r w:rsidR="00B54423" w:rsidRPr="00F8199B">
        <w:rPr>
          <w:rFonts w:asciiTheme="minorHAnsi" w:hAnsiTheme="minorHAnsi"/>
          <w:lang w:val="ru-RU"/>
        </w:rPr>
        <w:t xml:space="preserve"> </w:t>
      </w:r>
      <w:r w:rsidR="008E1584" w:rsidRPr="00F8199B">
        <w:rPr>
          <w:rFonts w:asciiTheme="minorHAnsi" w:hAnsiTheme="minorHAnsi"/>
          <w:lang w:val="ru-RU"/>
        </w:rPr>
        <w:t>Основная цель проведенного исследования не сводилась</w:t>
      </w:r>
      <w:r w:rsidR="00B54423" w:rsidRPr="00F8199B">
        <w:rPr>
          <w:rFonts w:asciiTheme="minorHAnsi" w:hAnsiTheme="minorHAnsi"/>
          <w:lang w:val="ru-RU"/>
        </w:rPr>
        <w:t xml:space="preserve"> </w:t>
      </w:r>
      <w:r w:rsidR="008E1584" w:rsidRPr="00F8199B">
        <w:rPr>
          <w:rFonts w:asciiTheme="minorHAnsi" w:hAnsiTheme="minorHAnsi"/>
          <w:lang w:val="ru-RU"/>
        </w:rPr>
        <w:t xml:space="preserve">к собственно </w:t>
      </w:r>
      <w:r w:rsidR="00B54423" w:rsidRPr="00F8199B">
        <w:rPr>
          <w:rFonts w:asciiTheme="minorHAnsi" w:hAnsiTheme="minorHAnsi"/>
          <w:lang w:val="ru-RU"/>
        </w:rPr>
        <w:t>оценк</w:t>
      </w:r>
      <w:r w:rsidR="008E1584" w:rsidRPr="00F8199B">
        <w:rPr>
          <w:rFonts w:asciiTheme="minorHAnsi" w:hAnsiTheme="minorHAnsi"/>
          <w:lang w:val="ru-RU"/>
        </w:rPr>
        <w:t>е</w:t>
      </w:r>
      <w:r w:rsidR="00B54423" w:rsidRPr="00F8199B">
        <w:rPr>
          <w:rFonts w:asciiTheme="minorHAnsi" w:hAnsiTheme="minorHAnsi"/>
          <w:lang w:val="ru-RU"/>
        </w:rPr>
        <w:t xml:space="preserve"> уровня демократизации местных политических систем или же идентификации существования или отсутстви</w:t>
      </w:r>
      <w:r w:rsidR="008E1584" w:rsidRPr="00F8199B">
        <w:rPr>
          <w:rFonts w:asciiTheme="minorHAnsi" w:hAnsiTheme="minorHAnsi"/>
          <w:lang w:val="ru-RU"/>
        </w:rPr>
        <w:t>я</w:t>
      </w:r>
      <w:r w:rsidR="00B54423" w:rsidRPr="00F8199B">
        <w:rPr>
          <w:rFonts w:asciiTheme="minorHAnsi" w:hAnsiTheme="minorHAnsi"/>
          <w:lang w:val="ru-RU"/>
        </w:rPr>
        <w:t xml:space="preserve"> </w:t>
      </w:r>
      <w:r w:rsidR="00195FAD">
        <w:rPr>
          <w:rFonts w:asciiTheme="minorHAnsi" w:hAnsiTheme="minorHAnsi"/>
          <w:lang w:val="ru-RU"/>
        </w:rPr>
        <w:t xml:space="preserve">нормативного </w:t>
      </w:r>
      <w:r w:rsidR="00B54423" w:rsidRPr="00F8199B">
        <w:rPr>
          <w:rFonts w:asciiTheme="minorHAnsi" w:hAnsiTheme="minorHAnsi"/>
          <w:lang w:val="ru-RU"/>
        </w:rPr>
        <w:t xml:space="preserve">гражданского общества. </w:t>
      </w:r>
      <w:r w:rsidR="008E1584" w:rsidRPr="00F8199B">
        <w:rPr>
          <w:rFonts w:asciiTheme="minorHAnsi" w:hAnsiTheme="minorHAnsi"/>
          <w:lang w:val="ru-RU"/>
        </w:rPr>
        <w:t>Г</w:t>
      </w:r>
      <w:r w:rsidR="00B54423" w:rsidRPr="00F8199B">
        <w:rPr>
          <w:rFonts w:asciiTheme="minorHAnsi" w:hAnsiTheme="minorHAnsi"/>
          <w:lang w:val="ru-RU"/>
        </w:rPr>
        <w:t xml:space="preserve">лавный интерес </w:t>
      </w:r>
      <w:r w:rsidR="008E1584" w:rsidRPr="00F8199B">
        <w:rPr>
          <w:rFonts w:asciiTheme="minorHAnsi" w:hAnsiTheme="minorHAnsi"/>
          <w:lang w:val="ru-RU"/>
        </w:rPr>
        <w:t>заключался</w:t>
      </w:r>
      <w:r w:rsidR="00B54423" w:rsidRPr="00F8199B">
        <w:rPr>
          <w:rFonts w:asciiTheme="minorHAnsi" w:hAnsiTheme="minorHAnsi"/>
          <w:lang w:val="ru-RU"/>
        </w:rPr>
        <w:t xml:space="preserve"> в возможности изучения институционального потенциала </w:t>
      </w:r>
      <w:r w:rsidR="00566A75" w:rsidRPr="00F8199B">
        <w:rPr>
          <w:rFonts w:asciiTheme="minorHAnsi" w:hAnsiTheme="minorHAnsi"/>
          <w:lang w:val="ru-RU"/>
        </w:rPr>
        <w:t>неформальных локальных</w:t>
      </w:r>
      <w:r w:rsidR="00B1404A" w:rsidRPr="00F8199B">
        <w:rPr>
          <w:rFonts w:asciiTheme="minorHAnsi" w:hAnsiTheme="minorHAnsi"/>
          <w:lang w:val="ru-RU"/>
        </w:rPr>
        <w:t xml:space="preserve"> </w:t>
      </w:r>
      <w:r w:rsidR="00B54423" w:rsidRPr="00F8199B">
        <w:rPr>
          <w:rFonts w:asciiTheme="minorHAnsi" w:hAnsiTheme="minorHAnsi"/>
          <w:lang w:val="ru-RU"/>
        </w:rPr>
        <w:t>проявлений гражданского общества в обеспечении стабильности внутри-социальных отношений.</w:t>
      </w:r>
      <w:r w:rsidR="00B1404A" w:rsidRPr="00F8199B">
        <w:rPr>
          <w:rFonts w:asciiTheme="minorHAnsi" w:hAnsiTheme="minorHAnsi"/>
          <w:lang w:val="ru-RU"/>
        </w:rPr>
        <w:t xml:space="preserve"> </w:t>
      </w:r>
    </w:p>
    <w:p w:rsidR="00705BBB" w:rsidRPr="00F8199B" w:rsidRDefault="00A9481D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bCs/>
          <w:color w:val="000000"/>
          <w:lang w:val="ru-RU"/>
        </w:rPr>
      </w:pPr>
      <w:r w:rsidRPr="00F8199B">
        <w:rPr>
          <w:rFonts w:asciiTheme="minorHAnsi" w:hAnsiTheme="minorHAnsi"/>
          <w:bCs/>
          <w:color w:val="000000"/>
          <w:lang w:val="ru-RU"/>
        </w:rPr>
        <w:lastRenderedPageBreak/>
        <w:t xml:space="preserve">Выбор указанных республик был не случаен. С одной стороны, они являются типичными представителями Северокавказского федерального округа с точки зрения общественно-политических и экономических трендов. </w:t>
      </w:r>
      <w:r w:rsidR="00057163" w:rsidRPr="00F8199B">
        <w:rPr>
          <w:rFonts w:asciiTheme="minorHAnsi" w:hAnsiTheme="minorHAnsi"/>
          <w:lang w:val="ru-RU"/>
        </w:rPr>
        <w:t>С другой стороны, республики являются как-бы близнецами с точки зрения этнической композиции титульных народов, формирующих властные элиты.</w:t>
      </w:r>
      <w:r w:rsidR="000E5896" w:rsidRPr="00F8199B">
        <w:rPr>
          <w:rFonts w:asciiTheme="minorHAnsi" w:hAnsiTheme="minorHAnsi"/>
          <w:lang w:val="ru-RU"/>
        </w:rPr>
        <w:t xml:space="preserve"> Фактически это единственные </w:t>
      </w:r>
      <w:proofErr w:type="gramStart"/>
      <w:r w:rsidR="000E5896" w:rsidRPr="00F8199B">
        <w:rPr>
          <w:rFonts w:asciiTheme="minorHAnsi" w:hAnsiTheme="minorHAnsi"/>
          <w:lang w:val="ru-RU"/>
        </w:rPr>
        <w:t>субъекты</w:t>
      </w:r>
      <w:proofErr w:type="gramEnd"/>
      <w:r w:rsidR="000E5896" w:rsidRPr="00F8199B">
        <w:rPr>
          <w:rFonts w:asciiTheme="minorHAnsi" w:hAnsiTheme="minorHAnsi"/>
          <w:lang w:val="ru-RU"/>
        </w:rPr>
        <w:t xml:space="preserve"> на Северном Кавказе сохранившие свою этно-административн</w:t>
      </w:r>
      <w:r w:rsidR="00273B48">
        <w:rPr>
          <w:rFonts w:asciiTheme="minorHAnsi" w:hAnsiTheme="minorHAnsi"/>
          <w:lang w:val="ru-RU"/>
        </w:rPr>
        <w:t xml:space="preserve">ую </w:t>
      </w:r>
      <w:r w:rsidR="00BD0137" w:rsidRPr="00F8199B">
        <w:rPr>
          <w:rFonts w:asciiTheme="minorHAnsi" w:hAnsiTheme="minorHAnsi"/>
          <w:lang w:val="ru-RU"/>
        </w:rPr>
        <w:t>структуру</w:t>
      </w:r>
      <w:r w:rsidR="000E5896" w:rsidRPr="00F8199B">
        <w:rPr>
          <w:rFonts w:asciiTheme="minorHAnsi" w:hAnsiTheme="minorHAnsi"/>
          <w:lang w:val="ru-RU"/>
        </w:rPr>
        <w:t xml:space="preserve"> </w:t>
      </w:r>
      <w:r w:rsidR="00BD0137" w:rsidRPr="00F8199B">
        <w:rPr>
          <w:rFonts w:asciiTheme="minorHAnsi" w:hAnsiTheme="minorHAnsi"/>
          <w:lang w:val="ru-RU"/>
        </w:rPr>
        <w:t xml:space="preserve">и соответствующее территориальное устройство </w:t>
      </w:r>
      <w:r w:rsidR="000E5896" w:rsidRPr="00F8199B">
        <w:rPr>
          <w:rFonts w:asciiTheme="minorHAnsi" w:hAnsiTheme="minorHAnsi"/>
          <w:lang w:val="ru-RU"/>
        </w:rPr>
        <w:t xml:space="preserve">с советских времен. </w:t>
      </w:r>
      <w:r w:rsidR="00847012" w:rsidRPr="00F8199B">
        <w:rPr>
          <w:rFonts w:asciiTheme="minorHAnsi" w:hAnsiTheme="minorHAnsi"/>
          <w:lang w:val="ru-RU"/>
        </w:rPr>
        <w:t xml:space="preserve">Это аспект, как будет показано далее, также привносит свой вклад в локальную динамику гражданской активности. </w:t>
      </w:r>
      <w:r w:rsidR="00BD0137" w:rsidRPr="00F8199B">
        <w:rPr>
          <w:rFonts w:asciiTheme="minorHAnsi" w:hAnsiTheme="minorHAnsi"/>
          <w:bCs/>
          <w:color w:val="000000"/>
          <w:lang w:val="ru-RU"/>
        </w:rPr>
        <w:t xml:space="preserve">Наибольшие отличия касаются степени централизации республиканской власти. Кабардино-Балкария </w:t>
      </w:r>
      <w:r w:rsidR="007124B9" w:rsidRPr="00F8199B">
        <w:rPr>
          <w:rFonts w:asciiTheme="minorHAnsi" w:hAnsiTheme="minorHAnsi"/>
          <w:bCs/>
          <w:color w:val="000000"/>
          <w:lang w:val="ru-RU"/>
        </w:rPr>
        <w:t xml:space="preserve">(КБР) </w:t>
      </w:r>
      <w:r w:rsidR="00BD0137" w:rsidRPr="00F8199B">
        <w:rPr>
          <w:rFonts w:asciiTheme="minorHAnsi" w:hAnsiTheme="minorHAnsi"/>
          <w:bCs/>
          <w:color w:val="000000"/>
          <w:lang w:val="ru-RU"/>
        </w:rPr>
        <w:t>демонстрирует высокую степень централизации, подразумевающую широкий контроль государства (республиканских властей) над локальным уровнем. Карачаево-Черкесия</w:t>
      </w:r>
      <w:r w:rsidR="007124B9" w:rsidRPr="00F8199B">
        <w:rPr>
          <w:rFonts w:asciiTheme="minorHAnsi" w:hAnsiTheme="minorHAnsi"/>
          <w:bCs/>
          <w:color w:val="000000"/>
          <w:lang w:val="ru-RU"/>
        </w:rPr>
        <w:t xml:space="preserve"> (КЧР)</w:t>
      </w:r>
      <w:r w:rsidR="00BD0137" w:rsidRPr="00F8199B">
        <w:rPr>
          <w:rFonts w:asciiTheme="minorHAnsi" w:hAnsiTheme="minorHAnsi"/>
          <w:bCs/>
          <w:color w:val="000000"/>
          <w:lang w:val="ru-RU"/>
        </w:rPr>
        <w:t xml:space="preserve"> представляет собой регион с относительной меньшей силой вертикали власти и определенной автономией уровня местных сообществ </w:t>
      </w:r>
      <w:r w:rsidR="00BD0137" w:rsidRPr="00F8199B">
        <w:rPr>
          <w:rFonts w:asciiTheme="minorHAnsi" w:hAnsiTheme="minorHAnsi"/>
          <w:lang w:val="ru-RU"/>
        </w:rPr>
        <w:t>(</w:t>
      </w:r>
      <w:proofErr w:type="spellStart"/>
      <w:r w:rsidR="00BD0137" w:rsidRPr="00F8199B">
        <w:rPr>
          <w:rFonts w:asciiTheme="minorHAnsi" w:hAnsiTheme="minorHAnsi"/>
          <w:bCs/>
          <w:lang w:val="en-US"/>
        </w:rPr>
        <w:t>Gunya</w:t>
      </w:r>
      <w:proofErr w:type="spellEnd"/>
      <w:r w:rsidR="00BD0137" w:rsidRPr="00F8199B">
        <w:rPr>
          <w:rFonts w:asciiTheme="minorHAnsi" w:hAnsiTheme="minorHAnsi"/>
          <w:bCs/>
          <w:lang w:val="ru-RU"/>
        </w:rPr>
        <w:t xml:space="preserve"> </w:t>
      </w:r>
      <w:r w:rsidR="00BD0137" w:rsidRPr="00F8199B">
        <w:rPr>
          <w:rFonts w:asciiTheme="minorHAnsi" w:hAnsiTheme="minorHAnsi"/>
          <w:bCs/>
          <w:lang w:val="en-US"/>
        </w:rPr>
        <w:t>et</w:t>
      </w:r>
      <w:r w:rsidR="00BD0137" w:rsidRPr="00F8199B">
        <w:rPr>
          <w:rFonts w:asciiTheme="minorHAnsi" w:hAnsiTheme="minorHAnsi"/>
          <w:bCs/>
          <w:lang w:val="ru-RU"/>
        </w:rPr>
        <w:t xml:space="preserve"> </w:t>
      </w:r>
      <w:r w:rsidR="00BD0137" w:rsidRPr="00F8199B">
        <w:rPr>
          <w:rFonts w:asciiTheme="minorHAnsi" w:hAnsiTheme="minorHAnsi"/>
          <w:bCs/>
          <w:lang w:val="en-US"/>
        </w:rPr>
        <w:t>al</w:t>
      </w:r>
      <w:r w:rsidR="00BD0137" w:rsidRPr="00F8199B">
        <w:rPr>
          <w:rFonts w:asciiTheme="minorHAnsi" w:hAnsiTheme="minorHAnsi"/>
          <w:bCs/>
          <w:lang w:val="ru-RU"/>
        </w:rPr>
        <w:t xml:space="preserve">, </w:t>
      </w:r>
      <w:r w:rsidR="00BD0137" w:rsidRPr="00F8199B">
        <w:rPr>
          <w:rFonts w:asciiTheme="minorHAnsi" w:hAnsiTheme="minorHAnsi"/>
          <w:lang w:val="ru-RU"/>
        </w:rPr>
        <w:t>2015)</w:t>
      </w:r>
      <w:r w:rsidR="00BD0137" w:rsidRPr="00F8199B">
        <w:rPr>
          <w:rFonts w:asciiTheme="minorHAnsi" w:hAnsiTheme="minorHAnsi"/>
          <w:bCs/>
          <w:color w:val="000000"/>
          <w:lang w:val="ru-RU"/>
        </w:rPr>
        <w:t>.</w:t>
      </w:r>
      <w:r w:rsidR="00BD0137" w:rsidRPr="00F8199B">
        <w:rPr>
          <w:rStyle w:val="a5"/>
          <w:rFonts w:asciiTheme="minorHAnsi" w:hAnsiTheme="minorHAnsi"/>
          <w:bCs/>
          <w:color w:val="000000"/>
          <w:lang w:val="ru-RU"/>
        </w:rPr>
        <w:footnoteReference w:id="5"/>
      </w:r>
      <w:r w:rsidR="001838AB" w:rsidRPr="00F8199B">
        <w:rPr>
          <w:rFonts w:asciiTheme="minorHAnsi" w:hAnsiTheme="minorHAnsi"/>
          <w:bCs/>
          <w:color w:val="000000"/>
          <w:lang w:val="ru-RU"/>
        </w:rPr>
        <w:t xml:space="preserve"> </w:t>
      </w:r>
      <w:proofErr w:type="gramStart"/>
      <w:r w:rsidR="001838AB" w:rsidRPr="00F8199B">
        <w:rPr>
          <w:rFonts w:asciiTheme="minorHAnsi" w:hAnsiTheme="minorHAnsi"/>
          <w:bCs/>
          <w:color w:val="000000"/>
          <w:lang w:val="ru-RU"/>
        </w:rPr>
        <w:t xml:space="preserve">В соответствии с данными Всероссийской переписи населения 2010 года, </w:t>
      </w:r>
      <w:r w:rsidR="007124B9" w:rsidRPr="00F8199B">
        <w:rPr>
          <w:rFonts w:asciiTheme="minorHAnsi" w:hAnsiTheme="minorHAnsi"/>
          <w:bCs/>
          <w:color w:val="000000"/>
          <w:lang w:val="ru-RU"/>
        </w:rPr>
        <w:t xml:space="preserve">большая часть населения КБР представлена кабардинцами – 57%, в то время как русские составляют около 23%, а балкарцы – 13%. </w:t>
      </w:r>
      <w:r w:rsidR="00D70AB5" w:rsidRPr="00F8199B">
        <w:rPr>
          <w:rFonts w:asciiTheme="minorHAnsi" w:hAnsiTheme="minorHAnsi"/>
          <w:bCs/>
          <w:color w:val="000000"/>
          <w:lang w:val="ru-RU"/>
        </w:rPr>
        <w:t xml:space="preserve">В КЧР карачаевцы, имеющие этническую общинность с балкарцами,  составляют 41% от населения, русские – 32% и 12% представлено </w:t>
      </w:r>
      <w:r w:rsidR="00912C8A" w:rsidRPr="00F8199B">
        <w:rPr>
          <w:rFonts w:asciiTheme="minorHAnsi" w:hAnsiTheme="minorHAnsi"/>
          <w:bCs/>
          <w:color w:val="000000"/>
          <w:lang w:val="ru-RU"/>
        </w:rPr>
        <w:t>черкесами, которые в свою очередь единство этнического происхождения с кабардинцами.</w:t>
      </w:r>
      <w:r w:rsidR="00912C8A" w:rsidRPr="00F8199B">
        <w:rPr>
          <w:rStyle w:val="a5"/>
          <w:rFonts w:asciiTheme="minorHAnsi" w:hAnsiTheme="minorHAnsi"/>
          <w:lang w:val="en-US"/>
        </w:rPr>
        <w:footnoteReference w:id="6"/>
      </w:r>
      <w:r w:rsidR="00912C8A" w:rsidRPr="00F8199B">
        <w:rPr>
          <w:rFonts w:asciiTheme="minorHAnsi" w:hAnsiTheme="minorHAnsi"/>
          <w:bCs/>
          <w:color w:val="000000"/>
          <w:lang w:val="ru-RU"/>
        </w:rPr>
        <w:t xml:space="preserve"> </w:t>
      </w:r>
      <w:proofErr w:type="gramEnd"/>
    </w:p>
    <w:p w:rsidR="00136132" w:rsidRPr="00F8199B" w:rsidRDefault="00912C8A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bCs/>
          <w:color w:val="000000"/>
          <w:lang w:val="ru-RU"/>
        </w:rPr>
      </w:pPr>
      <w:r w:rsidRPr="00F8199B">
        <w:rPr>
          <w:rFonts w:asciiTheme="minorHAnsi" w:hAnsiTheme="minorHAnsi"/>
          <w:bCs/>
          <w:color w:val="000000"/>
          <w:lang w:val="ru-RU"/>
        </w:rPr>
        <w:t xml:space="preserve">Эмпирические материалы исследования </w:t>
      </w:r>
      <w:r w:rsidR="00705BBB" w:rsidRPr="00F8199B">
        <w:rPr>
          <w:rFonts w:asciiTheme="minorHAnsi" w:hAnsiTheme="minorHAnsi"/>
          <w:bCs/>
          <w:color w:val="000000"/>
          <w:lang w:val="ru-RU"/>
        </w:rPr>
        <w:t>включают в себя два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 набора данных – качественны</w:t>
      </w:r>
      <w:r w:rsidR="007072B1" w:rsidRPr="00F8199B">
        <w:rPr>
          <w:rFonts w:asciiTheme="minorHAnsi" w:hAnsiTheme="minorHAnsi"/>
          <w:bCs/>
          <w:color w:val="000000"/>
          <w:lang w:val="ru-RU"/>
        </w:rPr>
        <w:t>х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 и количественны</w:t>
      </w:r>
      <w:r w:rsidR="007072B1" w:rsidRPr="00F8199B">
        <w:rPr>
          <w:rFonts w:asciiTheme="minorHAnsi" w:hAnsiTheme="minorHAnsi"/>
          <w:bCs/>
          <w:color w:val="000000"/>
          <w:lang w:val="ru-RU"/>
        </w:rPr>
        <w:t>х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. </w:t>
      </w:r>
      <w:r w:rsidR="00705BBB" w:rsidRPr="00F8199B">
        <w:rPr>
          <w:rFonts w:asciiTheme="minorHAnsi" w:hAnsiTheme="minorHAnsi"/>
          <w:bCs/>
          <w:color w:val="000000"/>
          <w:lang w:val="ru-RU"/>
        </w:rPr>
        <w:t xml:space="preserve">Количественные данные </w:t>
      </w:r>
      <w:r w:rsidR="007072B1" w:rsidRPr="00F8199B">
        <w:rPr>
          <w:rFonts w:asciiTheme="minorHAnsi" w:hAnsiTheme="minorHAnsi"/>
          <w:bCs/>
          <w:color w:val="000000"/>
          <w:lang w:val="ru-RU"/>
        </w:rPr>
        <w:t>представлены</w:t>
      </w:r>
      <w:r w:rsidR="00705BBB" w:rsidRPr="00F8199B">
        <w:rPr>
          <w:rFonts w:asciiTheme="minorHAnsi" w:hAnsiTheme="minorHAnsi"/>
          <w:bCs/>
          <w:color w:val="000000"/>
          <w:lang w:val="ru-RU"/>
        </w:rPr>
        <w:t xml:space="preserve"> результат</w:t>
      </w:r>
      <w:r w:rsidR="007072B1" w:rsidRPr="00F8199B">
        <w:rPr>
          <w:rFonts w:asciiTheme="minorHAnsi" w:hAnsiTheme="minorHAnsi"/>
          <w:bCs/>
          <w:color w:val="000000"/>
          <w:lang w:val="ru-RU"/>
        </w:rPr>
        <w:t>ами</w:t>
      </w:r>
      <w:r w:rsidR="00705BBB" w:rsidRPr="00F8199B">
        <w:rPr>
          <w:rFonts w:asciiTheme="minorHAnsi" w:hAnsiTheme="minorHAnsi"/>
          <w:bCs/>
          <w:color w:val="000000"/>
          <w:lang w:val="ru-RU"/>
        </w:rPr>
        <w:t xml:space="preserve"> опроса общественного мнения выборочной совокупностью в общей сложности 1000 человек для обоих субъектов</w:t>
      </w:r>
      <w:r w:rsidR="003C7466" w:rsidRPr="00F8199B">
        <w:rPr>
          <w:rFonts w:asciiTheme="minorHAnsi" w:hAnsiTheme="minorHAnsi"/>
          <w:bCs/>
          <w:color w:val="000000"/>
          <w:lang w:val="ru-RU"/>
        </w:rPr>
        <w:t xml:space="preserve"> (</w:t>
      </w:r>
      <w:r w:rsidR="003C7466" w:rsidRPr="0095770D">
        <w:rPr>
          <w:rFonts w:asciiTheme="minorHAnsi" w:hAnsiTheme="minorHAnsi"/>
          <w:bCs/>
          <w:i/>
          <w:color w:val="000000"/>
          <w:lang w:val="en-US"/>
        </w:rPr>
        <w:t>N</w:t>
      </w:r>
      <w:r w:rsidR="003C7466" w:rsidRPr="00F8199B">
        <w:rPr>
          <w:rFonts w:asciiTheme="minorHAnsi" w:hAnsiTheme="minorHAnsi"/>
          <w:bCs/>
          <w:color w:val="000000"/>
          <w:lang w:val="ru-RU"/>
        </w:rPr>
        <w:t xml:space="preserve">=500 + </w:t>
      </w:r>
      <w:r w:rsidR="003C7466" w:rsidRPr="0095770D">
        <w:rPr>
          <w:rFonts w:asciiTheme="minorHAnsi" w:hAnsiTheme="minorHAnsi"/>
          <w:bCs/>
          <w:i/>
          <w:color w:val="000000"/>
          <w:lang w:val="en-US"/>
        </w:rPr>
        <w:t>N</w:t>
      </w:r>
      <w:r w:rsidR="003C7466" w:rsidRPr="00F8199B">
        <w:rPr>
          <w:rFonts w:asciiTheme="minorHAnsi" w:hAnsiTheme="minorHAnsi"/>
          <w:bCs/>
          <w:color w:val="000000"/>
          <w:lang w:val="ru-RU"/>
        </w:rPr>
        <w:t>=500)</w:t>
      </w:r>
      <w:r w:rsidR="00705BBB" w:rsidRPr="00F8199B">
        <w:rPr>
          <w:rFonts w:asciiTheme="minorHAnsi" w:hAnsiTheme="minorHAnsi"/>
          <w:bCs/>
          <w:color w:val="000000"/>
          <w:lang w:val="ru-RU"/>
        </w:rPr>
        <w:t xml:space="preserve">. </w:t>
      </w:r>
      <w:r w:rsidR="007072B1" w:rsidRPr="00F8199B">
        <w:rPr>
          <w:rFonts w:asciiTheme="minorHAnsi" w:hAnsiTheme="minorHAnsi"/>
          <w:bCs/>
          <w:color w:val="000000"/>
          <w:lang w:val="ru-RU"/>
        </w:rPr>
        <w:t xml:space="preserve">Репрезентативность выборки обеспечивалась квотами, разработанными в соответствии с ключевыми социально-демографическими характеристиками населения республик на основе данных уточненных в республиканских территориальных органах федеральной государственной службы статистики. </w:t>
      </w:r>
      <w:r w:rsidR="00D21582" w:rsidRPr="00F8199B">
        <w:rPr>
          <w:rFonts w:asciiTheme="minorHAnsi" w:hAnsiTheme="minorHAnsi"/>
          <w:bCs/>
          <w:color w:val="000000"/>
          <w:lang w:val="ru-RU"/>
        </w:rPr>
        <w:t>Инструментарий</w:t>
      </w:r>
      <w:r w:rsidR="00E106F5" w:rsidRPr="00F8199B">
        <w:rPr>
          <w:rFonts w:asciiTheme="minorHAnsi" w:hAnsiTheme="minorHAnsi"/>
          <w:bCs/>
          <w:color w:val="000000"/>
          <w:lang w:val="ru-RU"/>
        </w:rPr>
        <w:t xml:space="preserve"> опроса была разработан коллективом авторов в рамках исследования на тему «Гражданское общество и гражданское участие на Южном Кавказе» </w:t>
      </w:r>
      <w:r w:rsidR="00830A3D" w:rsidRPr="00F8199B">
        <w:rPr>
          <w:rFonts w:asciiTheme="minorHAnsi" w:hAnsiTheme="minorHAnsi"/>
          <w:bCs/>
          <w:color w:val="000000"/>
          <w:lang w:val="ru-RU"/>
        </w:rPr>
        <w:t>по проекту «Внешние и внутренние источники стабильности на Кавказе»</w:t>
      </w:r>
      <w:r w:rsidR="00E106F5" w:rsidRPr="00F8199B">
        <w:rPr>
          <w:rFonts w:asciiTheme="minorHAnsi" w:hAnsiTheme="minorHAnsi"/>
          <w:bCs/>
          <w:color w:val="000000"/>
          <w:lang w:val="ru-RU"/>
        </w:rPr>
        <w:t xml:space="preserve">  </w:t>
      </w:r>
      <w:r w:rsidR="00830A3D" w:rsidRPr="00F8199B">
        <w:rPr>
          <w:rFonts w:asciiTheme="minorHAnsi" w:hAnsiTheme="minorHAnsi"/>
          <w:bCs/>
          <w:color w:val="000000"/>
          <w:lang w:val="ru-RU"/>
        </w:rPr>
        <w:t>финансируемого Седьмой рамочной программы Европейского Союза</w:t>
      </w:r>
      <w:r w:rsidR="00D21582" w:rsidRPr="00F8199B">
        <w:rPr>
          <w:rFonts w:asciiTheme="minorHAnsi" w:hAnsiTheme="minorHAnsi"/>
          <w:bCs/>
          <w:color w:val="000000"/>
          <w:lang w:val="ru-RU"/>
        </w:rPr>
        <w:t xml:space="preserve"> (2014-2016 гг.)</w:t>
      </w:r>
      <w:r w:rsidR="00D21582" w:rsidRPr="00F8199B">
        <w:rPr>
          <w:rFonts w:asciiTheme="minorHAnsi" w:hAnsiTheme="minorHAnsi"/>
          <w:vertAlign w:val="superscript"/>
        </w:rPr>
        <w:footnoteReference w:id="7"/>
      </w:r>
      <w:r w:rsidR="00D21582" w:rsidRPr="00F8199B">
        <w:rPr>
          <w:rFonts w:asciiTheme="minorHAnsi" w:hAnsiTheme="minorHAnsi"/>
          <w:bCs/>
          <w:color w:val="000000"/>
          <w:lang w:val="ru-RU"/>
        </w:rPr>
        <w:t xml:space="preserve">. С небольшими региональными адаптациями анкета была использована для опроса в и рамках настоящего исследования. </w:t>
      </w:r>
    </w:p>
    <w:p w:rsidR="00D21582" w:rsidRPr="00F8199B" w:rsidRDefault="00D21582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bCs/>
          <w:color w:val="000000"/>
          <w:lang w:val="ru-RU"/>
        </w:rPr>
      </w:pPr>
      <w:r w:rsidRPr="00F8199B">
        <w:rPr>
          <w:rFonts w:asciiTheme="minorHAnsi" w:hAnsiTheme="minorHAnsi"/>
          <w:bCs/>
          <w:color w:val="000000"/>
          <w:lang w:val="ru-RU"/>
        </w:rPr>
        <w:t>Качественная часть данных исследования представлена результатами глубинных полу-структурированных интервью с представителями гражданского общества</w:t>
      </w:r>
      <w:r w:rsidR="00292D6C">
        <w:rPr>
          <w:rFonts w:asciiTheme="minorHAnsi" w:hAnsiTheme="minorHAnsi"/>
          <w:bCs/>
          <w:color w:val="000000"/>
          <w:lang w:val="ru-RU"/>
        </w:rPr>
        <w:t xml:space="preserve"> и</w:t>
      </w:r>
      <w:r w:rsidR="00BD6CA1" w:rsidRPr="00F8199B">
        <w:rPr>
          <w:rFonts w:asciiTheme="minorHAnsi" w:hAnsiTheme="minorHAnsi"/>
          <w:bCs/>
          <w:color w:val="000000"/>
          <w:lang w:val="ru-RU"/>
        </w:rPr>
        <w:t xml:space="preserve"> местных общественных организаций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 двух республик</w:t>
      </w:r>
      <w:r w:rsidR="00BD6CA1" w:rsidRPr="00F8199B">
        <w:rPr>
          <w:rFonts w:asciiTheme="minorHAnsi" w:hAnsiTheme="minorHAnsi"/>
          <w:bCs/>
          <w:color w:val="000000"/>
          <w:lang w:val="ru-RU"/>
        </w:rPr>
        <w:t xml:space="preserve">. Каждая серия интервью заканчивалась совместным </w:t>
      </w:r>
      <w:r w:rsidR="0078479F" w:rsidRPr="00F8199B">
        <w:rPr>
          <w:rFonts w:asciiTheme="minorHAnsi" w:hAnsiTheme="minorHAnsi"/>
          <w:bCs/>
          <w:color w:val="000000"/>
          <w:lang w:val="ru-RU"/>
        </w:rPr>
        <w:t xml:space="preserve">семинаром </w:t>
      </w:r>
      <w:r w:rsidR="00BD6CA1" w:rsidRPr="00F8199B">
        <w:rPr>
          <w:rFonts w:asciiTheme="minorHAnsi" w:hAnsiTheme="minorHAnsi"/>
          <w:bCs/>
          <w:color w:val="000000"/>
          <w:lang w:val="ru-RU"/>
        </w:rPr>
        <w:t xml:space="preserve">с </w:t>
      </w:r>
      <w:r w:rsidR="0078479F" w:rsidRPr="00F8199B">
        <w:rPr>
          <w:rFonts w:asciiTheme="minorHAnsi" w:hAnsiTheme="minorHAnsi"/>
          <w:bCs/>
          <w:color w:val="000000"/>
          <w:lang w:val="ru-RU"/>
        </w:rPr>
        <w:t xml:space="preserve">участием </w:t>
      </w:r>
      <w:r w:rsidR="00DB5CF0" w:rsidRPr="00F8199B">
        <w:rPr>
          <w:rFonts w:asciiTheme="minorHAnsi" w:hAnsiTheme="minorHAnsi"/>
          <w:bCs/>
          <w:color w:val="000000"/>
          <w:lang w:val="ru-RU"/>
        </w:rPr>
        <w:t xml:space="preserve">указанных </w:t>
      </w:r>
      <w:r w:rsidR="0078479F" w:rsidRPr="00F8199B">
        <w:rPr>
          <w:rFonts w:asciiTheme="minorHAnsi" w:hAnsiTheme="minorHAnsi"/>
          <w:bCs/>
          <w:color w:val="000000"/>
          <w:lang w:val="ru-RU"/>
        </w:rPr>
        <w:t xml:space="preserve">общественных деятелей, </w:t>
      </w:r>
      <w:r w:rsidR="00DB5CF0" w:rsidRPr="00F8199B">
        <w:rPr>
          <w:rFonts w:asciiTheme="minorHAnsi" w:hAnsiTheme="minorHAnsi"/>
          <w:bCs/>
          <w:color w:val="000000"/>
          <w:lang w:val="ru-RU"/>
        </w:rPr>
        <w:t xml:space="preserve">а также </w:t>
      </w:r>
      <w:r w:rsidR="0078479F" w:rsidRPr="00F8199B">
        <w:rPr>
          <w:rFonts w:asciiTheme="minorHAnsi" w:hAnsiTheme="minorHAnsi"/>
          <w:bCs/>
          <w:color w:val="000000"/>
          <w:lang w:val="ru-RU"/>
        </w:rPr>
        <w:t xml:space="preserve">представителей академического и экспертного сообщества. На этих встречах </w:t>
      </w:r>
      <w:r w:rsidR="00BD6CA1" w:rsidRPr="00F8199B">
        <w:rPr>
          <w:rFonts w:asciiTheme="minorHAnsi" w:hAnsiTheme="minorHAnsi"/>
          <w:bCs/>
          <w:color w:val="000000"/>
          <w:lang w:val="ru-RU"/>
        </w:rPr>
        <w:t>обсуждались предварительные результаты опроса общественного мнения</w:t>
      </w:r>
      <w:r w:rsidR="00DB5CF0" w:rsidRPr="00F8199B">
        <w:rPr>
          <w:rFonts w:asciiTheme="minorHAnsi" w:hAnsiTheme="minorHAnsi"/>
          <w:bCs/>
          <w:color w:val="000000"/>
          <w:lang w:val="ru-RU"/>
        </w:rPr>
        <w:t xml:space="preserve"> и сери</w:t>
      </w:r>
      <w:r w:rsidR="00292D6C">
        <w:rPr>
          <w:rFonts w:asciiTheme="minorHAnsi" w:hAnsiTheme="minorHAnsi"/>
          <w:bCs/>
          <w:color w:val="000000"/>
          <w:lang w:val="ru-RU"/>
        </w:rPr>
        <w:t>й</w:t>
      </w:r>
      <w:r w:rsidR="00DB5CF0" w:rsidRPr="00F8199B">
        <w:rPr>
          <w:rFonts w:asciiTheme="minorHAnsi" w:hAnsiTheme="minorHAnsi"/>
          <w:bCs/>
          <w:color w:val="000000"/>
          <w:lang w:val="ru-RU"/>
        </w:rPr>
        <w:t xml:space="preserve"> интервью</w:t>
      </w:r>
      <w:r w:rsidR="0078479F" w:rsidRPr="00F8199B">
        <w:rPr>
          <w:rFonts w:asciiTheme="minorHAnsi" w:hAnsiTheme="minorHAnsi"/>
          <w:bCs/>
          <w:color w:val="000000"/>
          <w:lang w:val="ru-RU"/>
        </w:rPr>
        <w:t>, полученные</w:t>
      </w:r>
      <w:r w:rsidR="00BD6CA1" w:rsidRPr="00F8199B">
        <w:rPr>
          <w:rFonts w:asciiTheme="minorHAnsi" w:hAnsiTheme="minorHAnsi"/>
          <w:bCs/>
          <w:color w:val="000000"/>
          <w:lang w:val="ru-RU"/>
        </w:rPr>
        <w:t xml:space="preserve"> в каждой республике.</w:t>
      </w:r>
      <w:r w:rsidR="00DB5CF0" w:rsidRPr="00F8199B">
        <w:rPr>
          <w:rFonts w:asciiTheme="minorHAnsi" w:hAnsiTheme="minorHAnsi"/>
          <w:bCs/>
          <w:color w:val="000000"/>
          <w:lang w:val="ru-RU"/>
        </w:rPr>
        <w:t xml:space="preserve"> Кроме того, дополнительно были проанализированы несколько специфических для каждой республики кейсов имеющих отношение к гражданской активности, в том числе </w:t>
      </w:r>
      <w:r w:rsidR="003B2F17" w:rsidRPr="00F8199B">
        <w:rPr>
          <w:rFonts w:asciiTheme="minorHAnsi" w:hAnsiTheme="minorHAnsi"/>
          <w:bCs/>
          <w:color w:val="000000"/>
          <w:lang w:val="ru-RU"/>
        </w:rPr>
        <w:t>и ее неформальных проявлений</w:t>
      </w:r>
      <w:r w:rsidR="00DB5CF0" w:rsidRPr="00F8199B">
        <w:rPr>
          <w:rFonts w:asciiTheme="minorHAnsi" w:hAnsiTheme="minorHAnsi"/>
          <w:bCs/>
          <w:color w:val="000000"/>
          <w:lang w:val="ru-RU"/>
        </w:rPr>
        <w:t xml:space="preserve"> на уровне местных сообществ. </w:t>
      </w:r>
    </w:p>
    <w:p w:rsidR="00A74422" w:rsidRPr="00F8199B" w:rsidRDefault="00A74422" w:rsidP="00A74422">
      <w:pPr>
        <w:shd w:val="clear" w:color="auto" w:fill="FFFFFF"/>
        <w:spacing w:line="23" w:lineRule="atLeast"/>
        <w:jc w:val="both"/>
        <w:rPr>
          <w:rFonts w:asciiTheme="minorHAnsi" w:hAnsiTheme="minorHAnsi"/>
          <w:bCs/>
          <w:i/>
          <w:color w:val="000000"/>
          <w:lang w:val="ru-RU"/>
        </w:rPr>
      </w:pPr>
      <w:r>
        <w:rPr>
          <w:rFonts w:asciiTheme="minorHAnsi" w:hAnsiTheme="minorHAnsi"/>
          <w:bCs/>
          <w:color w:val="000000"/>
          <w:lang w:val="ru-RU"/>
        </w:rPr>
        <w:t>В д</w:t>
      </w:r>
      <w:r w:rsidRPr="00F8199B">
        <w:rPr>
          <w:rFonts w:asciiTheme="minorHAnsi" w:hAnsiTheme="minorHAnsi"/>
          <w:bCs/>
          <w:color w:val="000000"/>
          <w:lang w:val="ru-RU"/>
        </w:rPr>
        <w:t>анн</w:t>
      </w:r>
      <w:r>
        <w:rPr>
          <w:rFonts w:asciiTheme="minorHAnsi" w:hAnsiTheme="minorHAnsi"/>
          <w:bCs/>
          <w:color w:val="000000"/>
          <w:lang w:val="ru-RU"/>
        </w:rPr>
        <w:t>ой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 стать</w:t>
      </w:r>
      <w:r>
        <w:rPr>
          <w:rFonts w:asciiTheme="minorHAnsi" w:hAnsiTheme="minorHAnsi"/>
          <w:bCs/>
          <w:color w:val="000000"/>
          <w:lang w:val="ru-RU"/>
        </w:rPr>
        <w:t>е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 представляет результаты, полученные в рамках одного из ключевых </w:t>
      </w:r>
      <w:r>
        <w:rPr>
          <w:rFonts w:asciiTheme="minorHAnsi" w:hAnsiTheme="minorHAnsi"/>
          <w:bCs/>
          <w:color w:val="000000"/>
          <w:lang w:val="ru-RU"/>
        </w:rPr>
        <w:t>аналитических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 вопросов, поставленных в ходе основного исследования. А именно, </w:t>
      </w:r>
      <w:r w:rsidRPr="00F8199B">
        <w:rPr>
          <w:rFonts w:asciiTheme="minorHAnsi" w:hAnsiTheme="minorHAnsi"/>
          <w:bCs/>
          <w:i/>
          <w:color w:val="000000"/>
          <w:lang w:val="ru-RU"/>
        </w:rPr>
        <w:t>каково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 </w:t>
      </w:r>
      <w:r w:rsidRPr="00F8199B">
        <w:rPr>
          <w:rFonts w:asciiTheme="minorHAnsi" w:hAnsiTheme="minorHAnsi"/>
          <w:bCs/>
          <w:i/>
          <w:color w:val="000000"/>
          <w:lang w:val="ru-RU"/>
        </w:rPr>
        <w:t xml:space="preserve">общественное мнение </w:t>
      </w:r>
      <w:r>
        <w:rPr>
          <w:rFonts w:asciiTheme="minorHAnsi" w:hAnsiTheme="minorHAnsi"/>
          <w:bCs/>
          <w:i/>
          <w:color w:val="000000"/>
          <w:lang w:val="ru-RU"/>
        </w:rPr>
        <w:t>в</w:t>
      </w:r>
      <w:r w:rsidRPr="00F8199B">
        <w:rPr>
          <w:rFonts w:asciiTheme="minorHAnsi" w:hAnsiTheme="minorHAnsi"/>
          <w:bCs/>
          <w:i/>
          <w:color w:val="000000"/>
          <w:lang w:val="ru-RU"/>
        </w:rPr>
        <w:t xml:space="preserve"> отношени</w:t>
      </w:r>
      <w:r>
        <w:rPr>
          <w:rFonts w:asciiTheme="minorHAnsi" w:hAnsiTheme="minorHAnsi"/>
          <w:bCs/>
          <w:i/>
          <w:color w:val="000000"/>
          <w:lang w:val="ru-RU"/>
        </w:rPr>
        <w:t>и</w:t>
      </w:r>
      <w:r w:rsidRPr="00F8199B">
        <w:rPr>
          <w:rFonts w:asciiTheme="minorHAnsi" w:hAnsiTheme="minorHAnsi"/>
          <w:bCs/>
          <w:i/>
          <w:color w:val="000000"/>
          <w:lang w:val="ru-RU"/>
        </w:rPr>
        <w:t xml:space="preserve"> институт</w:t>
      </w:r>
      <w:r>
        <w:rPr>
          <w:rFonts w:asciiTheme="minorHAnsi" w:hAnsiTheme="minorHAnsi"/>
          <w:bCs/>
          <w:i/>
          <w:color w:val="000000"/>
          <w:lang w:val="ru-RU"/>
        </w:rPr>
        <w:t>ов</w:t>
      </w:r>
      <w:r w:rsidRPr="00F8199B">
        <w:rPr>
          <w:rFonts w:asciiTheme="minorHAnsi" w:hAnsiTheme="minorHAnsi"/>
          <w:bCs/>
          <w:i/>
          <w:color w:val="000000"/>
          <w:lang w:val="ru-RU"/>
        </w:rPr>
        <w:t xml:space="preserve"> гражданского </w:t>
      </w:r>
      <w:r>
        <w:rPr>
          <w:rFonts w:asciiTheme="minorHAnsi" w:hAnsiTheme="minorHAnsi"/>
          <w:bCs/>
          <w:i/>
          <w:color w:val="000000"/>
          <w:lang w:val="ru-RU"/>
        </w:rPr>
        <w:t>общества</w:t>
      </w:r>
      <w:r w:rsidRPr="00F8199B">
        <w:rPr>
          <w:rFonts w:asciiTheme="minorHAnsi" w:hAnsiTheme="minorHAnsi"/>
          <w:bCs/>
          <w:i/>
          <w:color w:val="000000"/>
          <w:lang w:val="ru-RU"/>
        </w:rPr>
        <w:t xml:space="preserve"> и </w:t>
      </w:r>
      <w:proofErr w:type="gramStart"/>
      <w:r w:rsidRPr="00F8199B">
        <w:rPr>
          <w:rFonts w:asciiTheme="minorHAnsi" w:hAnsiTheme="minorHAnsi"/>
          <w:bCs/>
          <w:i/>
          <w:color w:val="000000"/>
          <w:lang w:val="ru-RU"/>
        </w:rPr>
        <w:t>к</w:t>
      </w:r>
      <w:proofErr w:type="gramEnd"/>
      <w:r w:rsidRPr="00F8199B">
        <w:rPr>
          <w:rFonts w:asciiTheme="minorHAnsi" w:hAnsiTheme="minorHAnsi"/>
          <w:bCs/>
          <w:i/>
          <w:color w:val="000000"/>
          <w:lang w:val="ru-RU"/>
        </w:rPr>
        <w:t xml:space="preserve"> </w:t>
      </w:r>
      <w:proofErr w:type="gramStart"/>
      <w:r w:rsidRPr="00F8199B">
        <w:rPr>
          <w:rFonts w:asciiTheme="minorHAnsi" w:hAnsiTheme="minorHAnsi"/>
          <w:bCs/>
          <w:i/>
          <w:color w:val="000000"/>
          <w:lang w:val="ru-RU"/>
        </w:rPr>
        <w:t>гражданско</w:t>
      </w:r>
      <w:r>
        <w:rPr>
          <w:rFonts w:asciiTheme="minorHAnsi" w:hAnsiTheme="minorHAnsi"/>
          <w:bCs/>
          <w:i/>
          <w:color w:val="000000"/>
          <w:lang w:val="ru-RU"/>
        </w:rPr>
        <w:t>го</w:t>
      </w:r>
      <w:proofErr w:type="gramEnd"/>
      <w:r w:rsidRPr="00F8199B">
        <w:rPr>
          <w:rFonts w:asciiTheme="minorHAnsi" w:hAnsiTheme="minorHAnsi"/>
          <w:bCs/>
          <w:i/>
          <w:color w:val="000000"/>
          <w:lang w:val="ru-RU"/>
        </w:rPr>
        <w:t xml:space="preserve"> участи</w:t>
      </w:r>
      <w:r>
        <w:rPr>
          <w:rFonts w:asciiTheme="minorHAnsi" w:hAnsiTheme="minorHAnsi"/>
          <w:bCs/>
          <w:i/>
          <w:color w:val="000000"/>
          <w:lang w:val="ru-RU"/>
        </w:rPr>
        <w:t>я</w:t>
      </w:r>
      <w:r w:rsidRPr="00F8199B">
        <w:rPr>
          <w:rFonts w:asciiTheme="minorHAnsi" w:hAnsiTheme="minorHAnsi"/>
          <w:bCs/>
          <w:i/>
          <w:color w:val="000000"/>
          <w:lang w:val="ru-RU"/>
        </w:rPr>
        <w:t xml:space="preserve"> как форм</w:t>
      </w:r>
      <w:r>
        <w:rPr>
          <w:rFonts w:asciiTheme="minorHAnsi" w:hAnsiTheme="minorHAnsi"/>
          <w:bCs/>
          <w:i/>
          <w:color w:val="000000"/>
          <w:lang w:val="ru-RU"/>
        </w:rPr>
        <w:t>ы</w:t>
      </w:r>
      <w:r w:rsidRPr="00F8199B">
        <w:rPr>
          <w:rFonts w:asciiTheme="minorHAnsi" w:hAnsiTheme="minorHAnsi"/>
          <w:bCs/>
          <w:i/>
          <w:color w:val="000000"/>
          <w:lang w:val="ru-RU"/>
        </w:rPr>
        <w:t xml:space="preserve"> социальной активности среди местных сообществ?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 </w:t>
      </w:r>
      <w:proofErr w:type="gramStart"/>
      <w:r w:rsidRPr="00F8199B">
        <w:rPr>
          <w:rFonts w:asciiTheme="minorHAnsi" w:hAnsiTheme="minorHAnsi"/>
          <w:bCs/>
          <w:color w:val="000000"/>
          <w:lang w:val="ru-RU"/>
        </w:rPr>
        <w:t xml:space="preserve">В рамках вопроса предполагалось изучить, что собственно понимают под гражданским обществом </w:t>
      </w:r>
      <w:r>
        <w:rPr>
          <w:rFonts w:asciiTheme="minorHAnsi" w:hAnsiTheme="minorHAnsi"/>
          <w:bCs/>
          <w:color w:val="000000"/>
          <w:lang w:val="ru-RU"/>
        </w:rPr>
        <w:t>население двух республик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; в чем они видят основную цель гражданского участия, включая </w:t>
      </w:r>
      <w:r w:rsidR="00D47278">
        <w:rPr>
          <w:rFonts w:asciiTheme="minorHAnsi" w:hAnsiTheme="minorHAnsi"/>
          <w:bCs/>
          <w:color w:val="000000"/>
          <w:lang w:val="ru-RU"/>
        </w:rPr>
        <w:t>противостояние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, </w:t>
      </w:r>
      <w:r>
        <w:rPr>
          <w:rFonts w:asciiTheme="minorHAnsi" w:hAnsiTheme="minorHAnsi"/>
          <w:bCs/>
          <w:color w:val="000000"/>
          <w:lang w:val="ru-RU"/>
        </w:rPr>
        <w:lastRenderedPageBreak/>
        <w:t>сотрудничество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 или обход внешних вмешательств локальную жизнь, в том числе со стороны государства; на удовлетворение чьих, по мнению опрошенных, интересов направлена гражданская активность – частных, включая локальные элиты, или общественных.</w:t>
      </w:r>
      <w:proofErr w:type="gramEnd"/>
      <w:r w:rsidRPr="00F8199B">
        <w:rPr>
          <w:rFonts w:asciiTheme="minorHAnsi" w:hAnsiTheme="minorHAnsi"/>
          <w:bCs/>
          <w:color w:val="000000"/>
          <w:lang w:val="ru-RU"/>
        </w:rPr>
        <w:t xml:space="preserve"> </w:t>
      </w:r>
      <w:proofErr w:type="gramStart"/>
      <w:r w:rsidRPr="00F8199B">
        <w:rPr>
          <w:rFonts w:asciiTheme="minorHAnsi" w:hAnsiTheme="minorHAnsi"/>
          <w:bCs/>
          <w:color w:val="000000"/>
          <w:lang w:val="ru-RU"/>
        </w:rPr>
        <w:t>На основе результатов проведенных ранее авторским коллективом исследований</w:t>
      </w:r>
      <w:r w:rsidRPr="00F8199B">
        <w:rPr>
          <w:rStyle w:val="a5"/>
          <w:rFonts w:asciiTheme="minorHAnsi" w:hAnsiTheme="minorHAnsi"/>
          <w:bCs/>
          <w:color w:val="000000"/>
          <w:lang w:val="ru-RU"/>
        </w:rPr>
        <w:footnoteReference w:id="8"/>
      </w:r>
      <w:r w:rsidRPr="00F8199B">
        <w:rPr>
          <w:rFonts w:asciiTheme="minorHAnsi" w:hAnsiTheme="minorHAnsi"/>
          <w:bCs/>
          <w:color w:val="000000"/>
          <w:lang w:val="ru-RU"/>
        </w:rPr>
        <w:t xml:space="preserve">, а также других данных, </w:t>
      </w:r>
      <w:r w:rsidRPr="00165641">
        <w:rPr>
          <w:rFonts w:asciiTheme="minorHAnsi" w:hAnsiTheme="minorHAnsi"/>
          <w:bCs/>
          <w:color w:val="000000"/>
          <w:lang w:val="ru-RU"/>
        </w:rPr>
        <w:t xml:space="preserve">было сформулировано гипотетическое предположение о том, что </w:t>
      </w:r>
      <w:r w:rsidRPr="00165641">
        <w:rPr>
          <w:rFonts w:asciiTheme="minorHAnsi" w:hAnsiTheme="minorHAnsi"/>
          <w:bCs/>
          <w:i/>
          <w:color w:val="000000"/>
          <w:lang w:val="ru-RU"/>
        </w:rPr>
        <w:t>в общественных оценках в целом существует неопределенность в отношении того, что понимать под гражданским участием, что соответственно выражается в недоверии к формальным институтам гражданского общества, таким как общественные организации, а также в целом в неготовности к широкому формальному гражданскому участию.</w:t>
      </w:r>
      <w:proofErr w:type="gramEnd"/>
    </w:p>
    <w:p w:rsidR="00727303" w:rsidRPr="00F8199B" w:rsidRDefault="00907A5B" w:rsidP="006F413C">
      <w:pPr>
        <w:shd w:val="clear" w:color="auto" w:fill="FFFFFF"/>
        <w:spacing w:line="23" w:lineRule="atLeast"/>
        <w:jc w:val="both"/>
        <w:rPr>
          <w:rFonts w:asciiTheme="minorHAnsi" w:hAnsiTheme="minorHAnsi"/>
          <w:bCs/>
          <w:color w:val="000000"/>
          <w:lang w:val="ru-RU"/>
        </w:rPr>
      </w:pPr>
      <w:r>
        <w:rPr>
          <w:rFonts w:asciiTheme="minorHAnsi" w:hAnsiTheme="minorHAnsi"/>
          <w:bCs/>
          <w:color w:val="000000"/>
          <w:lang w:val="ru-RU"/>
        </w:rPr>
        <w:t xml:space="preserve">Перед тем, как перейти к результатам исследования, необходимо </w:t>
      </w:r>
      <w:r w:rsidR="006F413C">
        <w:rPr>
          <w:rFonts w:asciiTheme="minorHAnsi" w:hAnsiTheme="minorHAnsi"/>
          <w:bCs/>
          <w:color w:val="000000"/>
          <w:lang w:val="ru-RU"/>
        </w:rPr>
        <w:t>вкратце региональный</w:t>
      </w:r>
      <w:r w:rsidR="00722B1E">
        <w:rPr>
          <w:rFonts w:asciiTheme="minorHAnsi" w:hAnsiTheme="minorHAnsi"/>
          <w:bCs/>
          <w:color w:val="000000"/>
          <w:lang w:val="ru-RU"/>
        </w:rPr>
        <w:t xml:space="preserve"> </w:t>
      </w:r>
      <w:r w:rsidR="006F413C">
        <w:rPr>
          <w:rFonts w:asciiTheme="minorHAnsi" w:hAnsiTheme="minorHAnsi"/>
          <w:bCs/>
          <w:color w:val="000000"/>
          <w:lang w:val="ru-RU"/>
        </w:rPr>
        <w:t xml:space="preserve">общественно-политический </w:t>
      </w:r>
      <w:r w:rsidR="00722B1E">
        <w:rPr>
          <w:rFonts w:asciiTheme="minorHAnsi" w:hAnsiTheme="minorHAnsi"/>
          <w:bCs/>
          <w:color w:val="000000"/>
          <w:lang w:val="ru-RU"/>
        </w:rPr>
        <w:t>контекст</w:t>
      </w:r>
      <w:r w:rsidR="006F413C">
        <w:rPr>
          <w:rFonts w:asciiTheme="minorHAnsi" w:hAnsiTheme="minorHAnsi"/>
          <w:bCs/>
          <w:color w:val="000000"/>
          <w:lang w:val="ru-RU"/>
        </w:rPr>
        <w:t>,</w:t>
      </w:r>
      <w:r w:rsidR="00722B1E">
        <w:rPr>
          <w:rFonts w:asciiTheme="minorHAnsi" w:hAnsiTheme="minorHAnsi"/>
          <w:bCs/>
          <w:color w:val="000000"/>
          <w:lang w:val="ru-RU"/>
        </w:rPr>
        <w:t xml:space="preserve"> важн</w:t>
      </w:r>
      <w:r w:rsidR="006F413C">
        <w:rPr>
          <w:rFonts w:asciiTheme="minorHAnsi" w:hAnsiTheme="minorHAnsi"/>
          <w:bCs/>
          <w:color w:val="000000"/>
          <w:lang w:val="ru-RU"/>
        </w:rPr>
        <w:t>ый</w:t>
      </w:r>
      <w:r w:rsidR="00722B1E">
        <w:rPr>
          <w:rFonts w:asciiTheme="minorHAnsi" w:hAnsiTheme="minorHAnsi"/>
          <w:bCs/>
          <w:color w:val="000000"/>
          <w:lang w:val="ru-RU"/>
        </w:rPr>
        <w:t xml:space="preserve">, как для понимания выявленных в общественном </w:t>
      </w:r>
      <w:r w:rsidR="00722B1E" w:rsidRPr="00F8199B">
        <w:rPr>
          <w:rFonts w:asciiTheme="minorHAnsi" w:hAnsiTheme="minorHAnsi"/>
          <w:bCs/>
          <w:color w:val="000000"/>
          <w:lang w:val="ru-RU"/>
        </w:rPr>
        <w:t>мнени</w:t>
      </w:r>
      <w:r w:rsidR="00722B1E">
        <w:rPr>
          <w:rFonts w:asciiTheme="minorHAnsi" w:hAnsiTheme="minorHAnsi"/>
          <w:bCs/>
          <w:color w:val="000000"/>
          <w:lang w:val="ru-RU"/>
        </w:rPr>
        <w:t>и</w:t>
      </w:r>
      <w:r w:rsidR="00722B1E" w:rsidRPr="00F8199B">
        <w:rPr>
          <w:rFonts w:asciiTheme="minorHAnsi" w:hAnsiTheme="minorHAnsi"/>
          <w:bCs/>
          <w:color w:val="000000"/>
          <w:lang w:val="ru-RU"/>
        </w:rPr>
        <w:t xml:space="preserve"> населения двух республик </w:t>
      </w:r>
      <w:r w:rsidR="00722B1E">
        <w:rPr>
          <w:rFonts w:asciiTheme="minorHAnsi" w:hAnsiTheme="minorHAnsi"/>
          <w:bCs/>
          <w:color w:val="000000"/>
          <w:lang w:val="ru-RU"/>
        </w:rPr>
        <w:t>тенденций</w:t>
      </w:r>
      <w:r w:rsidR="00722B1E" w:rsidRPr="00F8199B">
        <w:rPr>
          <w:rFonts w:asciiTheme="minorHAnsi" w:hAnsiTheme="minorHAnsi"/>
          <w:bCs/>
          <w:color w:val="000000"/>
          <w:lang w:val="ru-RU"/>
        </w:rPr>
        <w:t xml:space="preserve">. </w:t>
      </w:r>
      <w:r w:rsidR="006F413C">
        <w:rPr>
          <w:rFonts w:asciiTheme="minorHAnsi" w:hAnsiTheme="minorHAnsi"/>
          <w:bCs/>
          <w:color w:val="000000"/>
          <w:lang w:val="ru-RU"/>
        </w:rPr>
        <w:t>И</w:t>
      </w:r>
      <w:r w:rsidR="00E83285">
        <w:rPr>
          <w:rFonts w:asciiTheme="minorHAnsi" w:hAnsiTheme="minorHAnsi"/>
          <w:bCs/>
          <w:color w:val="000000"/>
          <w:lang w:val="ru-RU"/>
        </w:rPr>
        <w:t xml:space="preserve">нституты </w:t>
      </w:r>
      <w:r w:rsidR="004C5520" w:rsidRPr="00F8199B">
        <w:rPr>
          <w:rFonts w:asciiTheme="minorHAnsi" w:hAnsiTheme="minorHAnsi"/>
          <w:bCs/>
          <w:color w:val="000000"/>
          <w:lang w:val="ru-RU"/>
        </w:rPr>
        <w:t xml:space="preserve">гражданского общества на Северном Кавказе, и в частности в двух исследуемых республиках, </w:t>
      </w:r>
      <w:r w:rsidR="00E83285">
        <w:rPr>
          <w:rFonts w:asciiTheme="minorHAnsi" w:hAnsiTheme="minorHAnsi"/>
          <w:bCs/>
          <w:color w:val="000000"/>
          <w:lang w:val="ru-RU"/>
        </w:rPr>
        <w:t>формировал</w:t>
      </w:r>
      <w:r w:rsidR="006F413C">
        <w:rPr>
          <w:rFonts w:asciiTheme="minorHAnsi" w:hAnsiTheme="minorHAnsi"/>
          <w:bCs/>
          <w:color w:val="000000"/>
          <w:lang w:val="ru-RU"/>
        </w:rPr>
        <w:t>и</w:t>
      </w:r>
      <w:r w:rsidR="00E83285">
        <w:rPr>
          <w:rFonts w:asciiTheme="minorHAnsi" w:hAnsiTheme="minorHAnsi"/>
          <w:bCs/>
          <w:color w:val="000000"/>
          <w:lang w:val="ru-RU"/>
        </w:rPr>
        <w:t>сь</w:t>
      </w:r>
      <w:r w:rsidR="009D3D4D" w:rsidRPr="00F8199B">
        <w:rPr>
          <w:rFonts w:asciiTheme="minorHAnsi" w:hAnsiTheme="minorHAnsi"/>
          <w:bCs/>
          <w:color w:val="000000"/>
          <w:lang w:val="ru-RU"/>
        </w:rPr>
        <w:t xml:space="preserve"> </w:t>
      </w:r>
      <w:r w:rsidR="001D5F3B" w:rsidRPr="00F8199B">
        <w:rPr>
          <w:rFonts w:asciiTheme="minorHAnsi" w:hAnsiTheme="minorHAnsi"/>
          <w:bCs/>
          <w:color w:val="000000"/>
          <w:lang w:val="ru-RU"/>
        </w:rPr>
        <w:t>в сложных условиях постсоветского государственного строительства. Мобилизованные по национальному признаку общественные организации стали едва ли не первыми формальными институтами гражданского общества</w:t>
      </w:r>
      <w:r w:rsidR="00E116D9" w:rsidRPr="00F8199B">
        <w:rPr>
          <w:rFonts w:asciiTheme="minorHAnsi" w:hAnsiTheme="minorHAnsi"/>
          <w:bCs/>
          <w:color w:val="000000"/>
          <w:lang w:val="ru-RU"/>
        </w:rPr>
        <w:t>, появившимися</w:t>
      </w:r>
      <w:r w:rsidR="001D5F3B" w:rsidRPr="00F8199B">
        <w:rPr>
          <w:rFonts w:asciiTheme="minorHAnsi" w:hAnsiTheme="minorHAnsi"/>
          <w:bCs/>
          <w:color w:val="000000"/>
          <w:lang w:val="ru-RU"/>
        </w:rPr>
        <w:t xml:space="preserve"> под влиянием растущ</w:t>
      </w:r>
      <w:r w:rsidR="00E116D9" w:rsidRPr="00F8199B">
        <w:rPr>
          <w:rFonts w:asciiTheme="minorHAnsi" w:hAnsiTheme="minorHAnsi"/>
          <w:bCs/>
          <w:color w:val="000000"/>
          <w:lang w:val="ru-RU"/>
        </w:rPr>
        <w:t>их</w:t>
      </w:r>
      <w:r w:rsidR="001D5F3B" w:rsidRPr="00F8199B">
        <w:rPr>
          <w:rFonts w:asciiTheme="minorHAnsi" w:hAnsiTheme="minorHAnsi"/>
          <w:bCs/>
          <w:color w:val="000000"/>
          <w:lang w:val="ru-RU"/>
        </w:rPr>
        <w:t xml:space="preserve"> </w:t>
      </w:r>
      <w:r w:rsidR="00E116D9" w:rsidRPr="00F8199B">
        <w:rPr>
          <w:rFonts w:asciiTheme="minorHAnsi" w:hAnsiTheme="minorHAnsi"/>
          <w:bCs/>
          <w:color w:val="000000"/>
          <w:lang w:val="ru-RU"/>
        </w:rPr>
        <w:t xml:space="preserve">в местных сообществах </w:t>
      </w:r>
      <w:r w:rsidR="001D5F3B" w:rsidRPr="00F8199B">
        <w:rPr>
          <w:rFonts w:asciiTheme="minorHAnsi" w:hAnsiTheme="minorHAnsi"/>
          <w:bCs/>
          <w:color w:val="000000"/>
          <w:lang w:val="ru-RU"/>
        </w:rPr>
        <w:t xml:space="preserve">этнической и </w:t>
      </w:r>
      <w:r w:rsidR="00E116D9" w:rsidRPr="00F8199B">
        <w:rPr>
          <w:rFonts w:asciiTheme="minorHAnsi" w:hAnsiTheme="minorHAnsi"/>
          <w:bCs/>
          <w:color w:val="000000"/>
          <w:lang w:val="ru-RU"/>
        </w:rPr>
        <w:t>политической идентичностей конца 1990-х начала 2000-х годов. Эти организации</w:t>
      </w:r>
      <w:r w:rsidR="00135121" w:rsidRPr="00F8199B">
        <w:rPr>
          <w:rFonts w:asciiTheme="minorHAnsi" w:hAnsiTheme="minorHAnsi"/>
          <w:bCs/>
          <w:color w:val="000000"/>
          <w:lang w:val="ru-RU"/>
        </w:rPr>
        <w:t xml:space="preserve"> пользовались наиболее значительным среди населения мобилизационным потенциалом и играли одну из ключевых ролей в региональной политической жизни. Многие из них до сих пор ассоциированы в общественном мнении с периодом политической нестабильности того периода, когда обе республики были на грани разделения на новые моноэтнические субъекты. Однако республиканским властям все же удалось преодолеть кризис </w:t>
      </w:r>
      <w:r w:rsidR="00ED59BE" w:rsidRPr="00F8199B">
        <w:rPr>
          <w:rFonts w:asciiTheme="minorHAnsi" w:hAnsiTheme="minorHAnsi"/>
          <w:bCs/>
          <w:color w:val="000000"/>
          <w:lang w:val="ru-RU"/>
        </w:rPr>
        <w:t xml:space="preserve">тех лет, а позднее, при поддержке федерального центра, с помощью совокупности формальных </w:t>
      </w:r>
      <w:r w:rsidR="004273F9" w:rsidRPr="00F8199B">
        <w:rPr>
          <w:rFonts w:asciiTheme="minorHAnsi" w:hAnsiTheme="minorHAnsi"/>
          <w:bCs/>
          <w:color w:val="000000"/>
          <w:lang w:val="ru-RU"/>
        </w:rPr>
        <w:t xml:space="preserve">правовых механизмов </w:t>
      </w:r>
      <w:r w:rsidR="00ED59BE" w:rsidRPr="00F8199B">
        <w:rPr>
          <w:rFonts w:asciiTheme="minorHAnsi" w:hAnsiTheme="minorHAnsi"/>
          <w:bCs/>
          <w:color w:val="000000"/>
          <w:lang w:val="ru-RU"/>
        </w:rPr>
        <w:t>и неформальных методов</w:t>
      </w:r>
      <w:r w:rsidR="004273F9" w:rsidRPr="00F8199B">
        <w:rPr>
          <w:rFonts w:asciiTheme="minorHAnsi" w:hAnsiTheme="minorHAnsi"/>
          <w:bCs/>
          <w:color w:val="000000"/>
          <w:lang w:val="ru-RU"/>
        </w:rPr>
        <w:t xml:space="preserve">, удалось практически вытеснить эти организации с политического пространства. Некоторые общественные организации, включая наиболее одиозные, были успешно кооптированы </w:t>
      </w:r>
      <w:r w:rsidR="0064443E" w:rsidRPr="00F8199B">
        <w:rPr>
          <w:rFonts w:asciiTheme="minorHAnsi" w:hAnsiTheme="minorHAnsi"/>
          <w:bCs/>
          <w:color w:val="000000"/>
          <w:lang w:val="ru-RU"/>
        </w:rPr>
        <w:t xml:space="preserve">властями </w:t>
      </w:r>
      <w:r w:rsidR="004273F9" w:rsidRPr="00F8199B">
        <w:rPr>
          <w:rFonts w:asciiTheme="minorHAnsi" w:hAnsiTheme="minorHAnsi"/>
          <w:bCs/>
          <w:color w:val="000000"/>
          <w:lang w:val="ru-RU"/>
        </w:rPr>
        <w:t xml:space="preserve">через </w:t>
      </w:r>
      <w:r w:rsidR="0064443E" w:rsidRPr="00F8199B">
        <w:rPr>
          <w:rFonts w:asciiTheme="minorHAnsi" w:hAnsiTheme="minorHAnsi"/>
          <w:bCs/>
          <w:color w:val="000000"/>
          <w:lang w:val="ru-RU"/>
        </w:rPr>
        <w:t>их</w:t>
      </w:r>
      <w:r w:rsidR="004273F9" w:rsidRPr="00F8199B">
        <w:rPr>
          <w:rFonts w:asciiTheme="minorHAnsi" w:hAnsiTheme="minorHAnsi"/>
          <w:bCs/>
          <w:color w:val="000000"/>
          <w:lang w:val="ru-RU"/>
        </w:rPr>
        <w:t xml:space="preserve"> лидеров </w:t>
      </w:r>
      <w:r w:rsidR="0064443E" w:rsidRPr="00F8199B">
        <w:rPr>
          <w:rFonts w:asciiTheme="minorHAnsi" w:hAnsiTheme="minorHAnsi"/>
          <w:lang w:val="ru-RU"/>
        </w:rPr>
        <w:t>(</w:t>
      </w:r>
      <w:r w:rsidR="0064443E" w:rsidRPr="00F8199B">
        <w:rPr>
          <w:rFonts w:asciiTheme="minorHAnsi" w:hAnsiTheme="minorHAnsi"/>
          <w:lang w:val="en-US"/>
        </w:rPr>
        <w:t>Shogenov</w:t>
      </w:r>
      <w:r w:rsidR="0064443E" w:rsidRPr="00F8199B">
        <w:rPr>
          <w:rFonts w:asciiTheme="minorHAnsi" w:hAnsiTheme="minorHAnsi"/>
          <w:lang w:val="ru-RU"/>
        </w:rPr>
        <w:t xml:space="preserve"> </w:t>
      </w:r>
      <w:r w:rsidR="0064443E" w:rsidRPr="00F8199B">
        <w:rPr>
          <w:rFonts w:asciiTheme="minorHAnsi" w:hAnsiTheme="minorHAnsi"/>
          <w:lang w:val="en-US"/>
        </w:rPr>
        <w:t>at</w:t>
      </w:r>
      <w:r w:rsidR="0064443E" w:rsidRPr="00F8199B">
        <w:rPr>
          <w:rFonts w:asciiTheme="minorHAnsi" w:hAnsiTheme="minorHAnsi"/>
          <w:lang w:val="ru-RU"/>
        </w:rPr>
        <w:t xml:space="preserve"> </w:t>
      </w:r>
      <w:r w:rsidR="0064443E" w:rsidRPr="00F8199B">
        <w:rPr>
          <w:rFonts w:asciiTheme="minorHAnsi" w:hAnsiTheme="minorHAnsi"/>
          <w:lang w:val="en-US"/>
        </w:rPr>
        <w:t>al</w:t>
      </w:r>
      <w:r w:rsidR="0064443E" w:rsidRPr="00F8199B">
        <w:rPr>
          <w:rFonts w:asciiTheme="minorHAnsi" w:hAnsiTheme="minorHAnsi"/>
          <w:lang w:val="ru-RU"/>
        </w:rPr>
        <w:t xml:space="preserve"> 2014)</w:t>
      </w:r>
      <w:r w:rsidR="0064443E" w:rsidRPr="00F8199B">
        <w:rPr>
          <w:rFonts w:asciiTheme="minorHAnsi" w:hAnsiTheme="minorHAnsi"/>
          <w:bCs/>
          <w:color w:val="000000"/>
          <w:lang w:val="ru-RU"/>
        </w:rPr>
        <w:t xml:space="preserve">. Статус других организаций был последовательно дискредитирован и многие из них находятся на грани запрета за осуществление экстремистской деятельности. </w:t>
      </w:r>
      <w:r w:rsidR="001236F6">
        <w:rPr>
          <w:rFonts w:asciiTheme="minorHAnsi" w:hAnsiTheme="minorHAnsi"/>
          <w:bCs/>
          <w:color w:val="000000"/>
          <w:lang w:val="ru-RU"/>
        </w:rPr>
        <w:t>Вместе с тем</w:t>
      </w:r>
      <w:r w:rsidR="000476E3" w:rsidRPr="00F8199B">
        <w:rPr>
          <w:rFonts w:asciiTheme="minorHAnsi" w:hAnsiTheme="minorHAnsi"/>
          <w:bCs/>
          <w:color w:val="000000"/>
          <w:lang w:val="ru-RU"/>
        </w:rPr>
        <w:t xml:space="preserve"> национальные общественные организации продолжают играть роль влиятельных акторов как для государства, так и для местных сообществ</w:t>
      </w:r>
      <w:r w:rsidR="00727303" w:rsidRPr="00F8199B">
        <w:rPr>
          <w:rFonts w:asciiTheme="minorHAnsi" w:hAnsiTheme="minorHAnsi"/>
          <w:bCs/>
          <w:color w:val="000000"/>
          <w:lang w:val="ru-RU"/>
        </w:rPr>
        <w:t>, и они</w:t>
      </w:r>
      <w:r w:rsidR="000476E3" w:rsidRPr="00F8199B">
        <w:rPr>
          <w:rFonts w:asciiTheme="minorHAnsi" w:hAnsiTheme="minorHAnsi"/>
          <w:bCs/>
          <w:color w:val="000000"/>
          <w:lang w:val="ru-RU"/>
        </w:rPr>
        <w:t xml:space="preserve"> </w:t>
      </w:r>
      <w:r w:rsidR="00727303" w:rsidRPr="00F8199B">
        <w:rPr>
          <w:rFonts w:asciiTheme="minorHAnsi" w:hAnsiTheme="minorHAnsi"/>
          <w:bCs/>
          <w:color w:val="000000"/>
          <w:lang w:val="ru-RU"/>
        </w:rPr>
        <w:t>по-прежнему</w:t>
      </w:r>
      <w:r w:rsidR="000476E3" w:rsidRPr="00F8199B">
        <w:rPr>
          <w:rFonts w:asciiTheme="minorHAnsi" w:hAnsiTheme="minorHAnsi"/>
          <w:bCs/>
          <w:color w:val="000000"/>
          <w:lang w:val="ru-RU"/>
        </w:rPr>
        <w:t xml:space="preserve"> связаны </w:t>
      </w:r>
      <w:r w:rsidR="00727303" w:rsidRPr="00F8199B">
        <w:rPr>
          <w:rFonts w:asciiTheme="minorHAnsi" w:hAnsiTheme="minorHAnsi"/>
          <w:bCs/>
          <w:color w:val="000000"/>
          <w:lang w:val="ru-RU"/>
        </w:rPr>
        <w:t xml:space="preserve">с </w:t>
      </w:r>
      <w:r w:rsidR="000476E3" w:rsidRPr="00F8199B">
        <w:rPr>
          <w:rFonts w:asciiTheme="minorHAnsi" w:hAnsiTheme="minorHAnsi"/>
          <w:bCs/>
          <w:color w:val="000000"/>
          <w:lang w:val="ru-RU"/>
        </w:rPr>
        <w:t xml:space="preserve">наиболее </w:t>
      </w:r>
      <w:r w:rsidR="00727303" w:rsidRPr="00F8199B">
        <w:rPr>
          <w:rFonts w:asciiTheme="minorHAnsi" w:hAnsiTheme="minorHAnsi"/>
          <w:bCs/>
          <w:color w:val="000000"/>
          <w:lang w:val="ru-RU"/>
        </w:rPr>
        <w:t>заметными</w:t>
      </w:r>
      <w:r w:rsidR="000476E3" w:rsidRPr="00F8199B">
        <w:rPr>
          <w:rFonts w:asciiTheme="minorHAnsi" w:hAnsiTheme="minorHAnsi"/>
          <w:bCs/>
          <w:color w:val="000000"/>
          <w:lang w:val="ru-RU"/>
        </w:rPr>
        <w:t xml:space="preserve"> новостны</w:t>
      </w:r>
      <w:r w:rsidR="00727303" w:rsidRPr="00F8199B">
        <w:rPr>
          <w:rFonts w:asciiTheme="minorHAnsi" w:hAnsiTheme="minorHAnsi"/>
          <w:bCs/>
          <w:color w:val="000000"/>
          <w:lang w:val="ru-RU"/>
        </w:rPr>
        <w:t>ми</w:t>
      </w:r>
      <w:r w:rsidR="000476E3" w:rsidRPr="00F8199B">
        <w:rPr>
          <w:rFonts w:asciiTheme="minorHAnsi" w:hAnsiTheme="minorHAnsi"/>
          <w:bCs/>
          <w:color w:val="000000"/>
          <w:lang w:val="ru-RU"/>
        </w:rPr>
        <w:t xml:space="preserve"> повод</w:t>
      </w:r>
      <w:r w:rsidR="00727303" w:rsidRPr="00F8199B">
        <w:rPr>
          <w:rFonts w:asciiTheme="minorHAnsi" w:hAnsiTheme="minorHAnsi"/>
          <w:bCs/>
          <w:color w:val="000000"/>
          <w:lang w:val="ru-RU"/>
        </w:rPr>
        <w:t xml:space="preserve">ами. Государство достаточно часто использует ресурсы </w:t>
      </w:r>
      <w:r w:rsidR="001236F6">
        <w:rPr>
          <w:rFonts w:asciiTheme="minorHAnsi" w:hAnsiTheme="minorHAnsi"/>
          <w:bCs/>
          <w:color w:val="000000"/>
          <w:lang w:val="ru-RU"/>
        </w:rPr>
        <w:t xml:space="preserve">некоторых </w:t>
      </w:r>
      <w:r w:rsidR="00727303" w:rsidRPr="00F8199B">
        <w:rPr>
          <w:rFonts w:asciiTheme="minorHAnsi" w:hAnsiTheme="minorHAnsi"/>
          <w:bCs/>
          <w:color w:val="000000"/>
          <w:lang w:val="ru-RU"/>
        </w:rPr>
        <w:t xml:space="preserve">национальных общественных организаций для легитимации </w:t>
      </w:r>
      <w:r w:rsidR="00140860" w:rsidRPr="00F8199B">
        <w:rPr>
          <w:rFonts w:asciiTheme="minorHAnsi" w:hAnsiTheme="minorHAnsi"/>
          <w:bCs/>
          <w:color w:val="000000"/>
          <w:lang w:val="ru-RU"/>
        </w:rPr>
        <w:t>противоречивых</w:t>
      </w:r>
      <w:r w:rsidR="00727303" w:rsidRPr="00F8199B">
        <w:rPr>
          <w:rFonts w:asciiTheme="minorHAnsi" w:hAnsiTheme="minorHAnsi"/>
          <w:bCs/>
          <w:color w:val="000000"/>
          <w:lang w:val="ru-RU"/>
        </w:rPr>
        <w:t xml:space="preserve"> управленских решений</w:t>
      </w:r>
      <w:r w:rsidR="00140860" w:rsidRPr="00F8199B">
        <w:rPr>
          <w:rFonts w:asciiTheme="minorHAnsi" w:hAnsiTheme="minorHAnsi"/>
          <w:bCs/>
          <w:color w:val="000000"/>
          <w:lang w:val="ru-RU"/>
        </w:rPr>
        <w:t xml:space="preserve">. В свою очередь представители локальных сообществ на уровне поселений, не имея эффективных механизмов воздействия на местные властные элиты, обращаются </w:t>
      </w:r>
      <w:r w:rsidR="002654DB" w:rsidRPr="00F8199B">
        <w:rPr>
          <w:rFonts w:asciiTheme="minorHAnsi" w:hAnsiTheme="minorHAnsi"/>
          <w:bCs/>
          <w:color w:val="000000"/>
          <w:lang w:val="ru-RU"/>
        </w:rPr>
        <w:t xml:space="preserve">для решения насущных проблем </w:t>
      </w:r>
      <w:r w:rsidR="00140860" w:rsidRPr="00F8199B">
        <w:rPr>
          <w:rFonts w:asciiTheme="minorHAnsi" w:hAnsiTheme="minorHAnsi"/>
          <w:bCs/>
          <w:color w:val="000000"/>
          <w:lang w:val="ru-RU"/>
        </w:rPr>
        <w:t xml:space="preserve">к общественным </w:t>
      </w:r>
      <w:r w:rsidR="002654DB" w:rsidRPr="00F8199B">
        <w:rPr>
          <w:rFonts w:asciiTheme="minorHAnsi" w:hAnsiTheme="minorHAnsi"/>
          <w:bCs/>
          <w:color w:val="000000"/>
          <w:lang w:val="ru-RU"/>
        </w:rPr>
        <w:t xml:space="preserve">организациям как к каналу взаимодействия с республиканскими или </w:t>
      </w:r>
      <w:r w:rsidR="001236F6">
        <w:rPr>
          <w:rFonts w:asciiTheme="minorHAnsi" w:hAnsiTheme="minorHAnsi"/>
          <w:bCs/>
          <w:color w:val="000000"/>
          <w:lang w:val="ru-RU"/>
        </w:rPr>
        <w:t>федеральными органами власти</w:t>
      </w:r>
      <w:r w:rsidR="001236F6" w:rsidRPr="00F8199B">
        <w:rPr>
          <w:rStyle w:val="a5"/>
          <w:rFonts w:asciiTheme="minorHAnsi" w:hAnsiTheme="minorHAnsi"/>
          <w:bCs/>
          <w:color w:val="000000"/>
          <w:lang w:val="ru-RU"/>
        </w:rPr>
        <w:footnoteReference w:id="9"/>
      </w:r>
      <w:r w:rsidR="001236F6">
        <w:rPr>
          <w:rFonts w:asciiTheme="minorHAnsi" w:hAnsiTheme="minorHAnsi"/>
          <w:bCs/>
          <w:color w:val="000000"/>
          <w:lang w:val="ru-RU"/>
        </w:rPr>
        <w:t>.</w:t>
      </w:r>
    </w:p>
    <w:p w:rsidR="00483119" w:rsidRPr="00F8199B" w:rsidRDefault="00211319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lang w:val="ru-RU"/>
        </w:rPr>
      </w:pPr>
      <w:r w:rsidRPr="00F8199B">
        <w:rPr>
          <w:rFonts w:asciiTheme="minorHAnsi" w:hAnsiTheme="minorHAnsi"/>
          <w:bCs/>
          <w:color w:val="000000"/>
          <w:lang w:val="ru-RU"/>
        </w:rPr>
        <w:t xml:space="preserve">На рисунке 1 представлены результаты оценок опрошенных в отношении </w:t>
      </w:r>
      <w:r w:rsidR="008C11DC" w:rsidRPr="00F8199B">
        <w:rPr>
          <w:rFonts w:asciiTheme="minorHAnsi" w:hAnsiTheme="minorHAnsi"/>
          <w:bCs/>
          <w:color w:val="000000"/>
          <w:lang w:val="ru-RU"/>
        </w:rPr>
        <w:t xml:space="preserve">добровольной общественной деятельности, осуществляемой НПО, или общественными группами </w:t>
      </w:r>
      <w:r w:rsidR="004378F4" w:rsidRPr="00F8199B">
        <w:rPr>
          <w:rFonts w:asciiTheme="minorHAnsi" w:hAnsiTheme="minorHAnsi"/>
          <w:bCs/>
          <w:color w:val="000000"/>
          <w:lang w:val="ru-RU"/>
        </w:rPr>
        <w:t xml:space="preserve">не </w:t>
      </w:r>
      <w:r w:rsidR="008C11DC" w:rsidRPr="00F8199B">
        <w:rPr>
          <w:rFonts w:asciiTheme="minorHAnsi" w:hAnsiTheme="minorHAnsi"/>
          <w:bCs/>
          <w:color w:val="000000"/>
          <w:lang w:val="ru-RU"/>
        </w:rPr>
        <w:t>по инициативе государства или органов власти</w:t>
      </w:r>
      <w:r w:rsidR="00AD7F35" w:rsidRPr="00F8199B">
        <w:rPr>
          <w:rFonts w:asciiTheme="minorHAnsi" w:hAnsiTheme="minorHAnsi"/>
          <w:bCs/>
          <w:color w:val="000000"/>
          <w:lang w:val="ru-RU"/>
        </w:rPr>
        <w:t>, с точки зрения государственных, общественных и частных интересов</w:t>
      </w:r>
      <w:r w:rsidRPr="00F8199B">
        <w:rPr>
          <w:rFonts w:asciiTheme="minorHAnsi" w:hAnsiTheme="minorHAnsi"/>
          <w:bCs/>
          <w:color w:val="000000"/>
          <w:lang w:val="ru-RU"/>
        </w:rPr>
        <w:t>.</w:t>
      </w:r>
      <w:r w:rsidR="00786A0D" w:rsidRPr="00F8199B">
        <w:rPr>
          <w:rFonts w:asciiTheme="minorHAnsi" w:hAnsiTheme="minorHAnsi"/>
          <w:bCs/>
          <w:color w:val="000000"/>
          <w:lang w:val="ru-RU"/>
        </w:rPr>
        <w:t xml:space="preserve"> Почти треть респондентов в обеих республиках </w:t>
      </w:r>
      <w:r w:rsidR="00277DD9" w:rsidRPr="00F8199B">
        <w:rPr>
          <w:rFonts w:asciiTheme="minorHAnsi" w:hAnsiTheme="minorHAnsi"/>
          <w:bCs/>
          <w:color w:val="000000"/>
          <w:lang w:val="ru-RU"/>
        </w:rPr>
        <w:t xml:space="preserve">затруднились ответить, что демонстрирует существующую </w:t>
      </w:r>
      <w:r w:rsidR="00172B4D" w:rsidRPr="00F8199B">
        <w:rPr>
          <w:rFonts w:asciiTheme="minorHAnsi" w:hAnsiTheme="minorHAnsi"/>
          <w:bCs/>
          <w:color w:val="000000"/>
          <w:lang w:val="ru-RU"/>
        </w:rPr>
        <w:t xml:space="preserve">в общественном мнении </w:t>
      </w:r>
      <w:r w:rsidR="004378F4">
        <w:rPr>
          <w:rFonts w:asciiTheme="minorHAnsi" w:hAnsiTheme="minorHAnsi"/>
          <w:bCs/>
          <w:color w:val="000000"/>
          <w:lang w:val="ru-RU"/>
        </w:rPr>
        <w:t xml:space="preserve">значительную </w:t>
      </w:r>
      <w:r w:rsidR="00277DD9" w:rsidRPr="00F8199B">
        <w:rPr>
          <w:rFonts w:asciiTheme="minorHAnsi" w:hAnsiTheme="minorHAnsi"/>
          <w:bCs/>
          <w:color w:val="000000"/>
          <w:lang w:val="ru-RU"/>
        </w:rPr>
        <w:t>неопределенность</w:t>
      </w:r>
      <w:r w:rsidR="00172B4D" w:rsidRPr="00F8199B">
        <w:rPr>
          <w:rFonts w:asciiTheme="minorHAnsi" w:hAnsiTheme="minorHAnsi"/>
          <w:bCs/>
          <w:color w:val="000000"/>
          <w:lang w:val="ru-RU"/>
        </w:rPr>
        <w:t>. Далее следует ответ «</w:t>
      </w:r>
      <w:r w:rsidR="00CF04FE" w:rsidRPr="00F8199B">
        <w:rPr>
          <w:rFonts w:asciiTheme="minorHAnsi" w:hAnsiTheme="minorHAnsi"/>
          <w:bCs/>
          <w:color w:val="000000"/>
          <w:lang w:val="ru-RU"/>
        </w:rPr>
        <w:t>Как форму помощи государству в деле достижения общенациональных целей</w:t>
      </w:r>
      <w:r w:rsidR="00172B4D" w:rsidRPr="00F8199B">
        <w:rPr>
          <w:rFonts w:asciiTheme="minorHAnsi" w:hAnsiTheme="minorHAnsi"/>
          <w:bCs/>
          <w:color w:val="000000"/>
          <w:lang w:val="ru-RU"/>
        </w:rPr>
        <w:t>»</w:t>
      </w:r>
      <w:r w:rsidR="00CF04FE" w:rsidRPr="00F8199B">
        <w:rPr>
          <w:rFonts w:asciiTheme="minorHAnsi" w:hAnsiTheme="minorHAnsi"/>
          <w:bCs/>
          <w:color w:val="000000"/>
          <w:lang w:val="ru-RU"/>
        </w:rPr>
        <w:t xml:space="preserve"> –</w:t>
      </w:r>
      <w:r w:rsidR="00CF04FE" w:rsidRPr="00F8199B">
        <w:rPr>
          <w:rFonts w:asciiTheme="minorHAnsi" w:hAnsiTheme="minorHAnsi"/>
          <w:lang w:val="ru-RU"/>
        </w:rPr>
        <w:lastRenderedPageBreak/>
        <w:t>19,9% в КБР и 25,46% в КЧР. На третьем месте в КБР оказался ответ «</w:t>
      </w:r>
      <w:r w:rsidR="008D769E" w:rsidRPr="00F8199B">
        <w:rPr>
          <w:rFonts w:asciiTheme="minorHAnsi" w:hAnsiTheme="minorHAnsi"/>
          <w:bCs/>
          <w:color w:val="000000"/>
          <w:lang w:val="ru-RU"/>
        </w:rPr>
        <w:t>Как альтернативу неэффективным государственным учреждениям и структурам</w:t>
      </w:r>
      <w:r w:rsidR="00CF04FE" w:rsidRPr="00F8199B">
        <w:rPr>
          <w:rFonts w:asciiTheme="minorHAnsi" w:hAnsiTheme="minorHAnsi"/>
          <w:lang w:val="ru-RU"/>
        </w:rPr>
        <w:t>»</w:t>
      </w:r>
      <w:r w:rsidR="008D769E" w:rsidRPr="00F8199B">
        <w:rPr>
          <w:rFonts w:asciiTheme="minorHAnsi" w:hAnsiTheme="minorHAnsi"/>
          <w:lang w:val="ru-RU"/>
        </w:rPr>
        <w:t xml:space="preserve"> –</w:t>
      </w:r>
      <w:r w:rsidR="004F267C" w:rsidRPr="00F8199B">
        <w:rPr>
          <w:rFonts w:asciiTheme="minorHAnsi" w:hAnsiTheme="minorHAnsi"/>
          <w:lang w:val="ru-RU"/>
        </w:rPr>
        <w:t xml:space="preserve"> </w:t>
      </w:r>
      <w:r w:rsidR="008D769E" w:rsidRPr="00F8199B">
        <w:rPr>
          <w:rFonts w:asciiTheme="minorHAnsi" w:hAnsiTheme="minorHAnsi"/>
          <w:lang w:val="ru-RU"/>
        </w:rPr>
        <w:t>14,08%</w:t>
      </w:r>
      <w:r w:rsidR="004F267C" w:rsidRPr="00F8199B">
        <w:rPr>
          <w:rFonts w:asciiTheme="minorHAnsi" w:hAnsiTheme="minorHAnsi"/>
          <w:lang w:val="ru-RU"/>
        </w:rPr>
        <w:t>, в то время как в КЧ</w:t>
      </w:r>
      <w:r w:rsidR="00B44A12" w:rsidRPr="00F8199B">
        <w:rPr>
          <w:rFonts w:asciiTheme="minorHAnsi" w:hAnsiTheme="minorHAnsi"/>
          <w:lang w:val="ru-RU"/>
        </w:rPr>
        <w:t>Р</w:t>
      </w:r>
      <w:r w:rsidR="004F267C" w:rsidRPr="00F8199B">
        <w:rPr>
          <w:rFonts w:asciiTheme="minorHAnsi" w:hAnsiTheme="minorHAnsi"/>
          <w:lang w:val="ru-RU"/>
        </w:rPr>
        <w:t xml:space="preserve"> эта альтернатива набрала</w:t>
      </w:r>
      <w:r w:rsidR="008D769E" w:rsidRPr="00F8199B">
        <w:rPr>
          <w:rFonts w:asciiTheme="minorHAnsi" w:hAnsiTheme="minorHAnsi"/>
          <w:lang w:val="ru-RU"/>
        </w:rPr>
        <w:t xml:space="preserve"> </w:t>
      </w:r>
      <w:r w:rsidR="004F267C" w:rsidRPr="00F8199B">
        <w:rPr>
          <w:rFonts w:asciiTheme="minorHAnsi" w:hAnsiTheme="minorHAnsi"/>
          <w:lang w:val="ru-RU"/>
        </w:rPr>
        <w:t>11,12%</w:t>
      </w:r>
      <w:r w:rsidR="00B44A12" w:rsidRPr="00F8199B">
        <w:rPr>
          <w:rFonts w:asciiTheme="minorHAnsi" w:hAnsiTheme="minorHAnsi"/>
          <w:lang w:val="ru-RU"/>
        </w:rPr>
        <w:t xml:space="preserve"> ответов</w:t>
      </w:r>
      <w:r w:rsidR="008D769E" w:rsidRPr="00F8199B">
        <w:rPr>
          <w:rFonts w:asciiTheme="minorHAnsi" w:hAnsiTheme="minorHAnsi"/>
          <w:lang w:val="ru-RU"/>
        </w:rPr>
        <w:t xml:space="preserve">. </w:t>
      </w:r>
      <w:proofErr w:type="gramStart"/>
      <w:r w:rsidR="008D769E" w:rsidRPr="00F8199B">
        <w:rPr>
          <w:rFonts w:asciiTheme="minorHAnsi" w:hAnsiTheme="minorHAnsi"/>
          <w:lang w:val="ru-RU"/>
        </w:rPr>
        <w:t xml:space="preserve">Существующие в республиках </w:t>
      </w:r>
      <w:r w:rsidR="00B44A12" w:rsidRPr="00F8199B">
        <w:rPr>
          <w:rFonts w:asciiTheme="minorHAnsi" w:hAnsiTheme="minorHAnsi"/>
          <w:lang w:val="ru-RU"/>
        </w:rPr>
        <w:t xml:space="preserve">разницы оценок </w:t>
      </w:r>
      <w:r w:rsidR="008D769E" w:rsidRPr="00F8199B">
        <w:rPr>
          <w:rFonts w:asciiTheme="minorHAnsi" w:hAnsiTheme="minorHAnsi"/>
          <w:lang w:val="ru-RU"/>
        </w:rPr>
        <w:t xml:space="preserve">позволяют </w:t>
      </w:r>
      <w:r w:rsidR="004F267C" w:rsidRPr="00F8199B">
        <w:rPr>
          <w:rFonts w:asciiTheme="minorHAnsi" w:hAnsiTheme="minorHAnsi"/>
          <w:lang w:val="ru-RU"/>
        </w:rPr>
        <w:t>сделать вывод о более</w:t>
      </w:r>
      <w:r w:rsidR="008D769E" w:rsidRPr="00F8199B">
        <w:rPr>
          <w:rFonts w:asciiTheme="minorHAnsi" w:hAnsiTheme="minorHAnsi"/>
          <w:lang w:val="ru-RU"/>
        </w:rPr>
        <w:t xml:space="preserve"> выраженн</w:t>
      </w:r>
      <w:r w:rsidR="004F267C" w:rsidRPr="00F8199B">
        <w:rPr>
          <w:rFonts w:asciiTheme="minorHAnsi" w:hAnsiTheme="minorHAnsi"/>
          <w:lang w:val="ru-RU"/>
        </w:rPr>
        <w:t>ом на момент опроса</w:t>
      </w:r>
      <w:r w:rsidR="008D769E" w:rsidRPr="00F8199B">
        <w:rPr>
          <w:rFonts w:asciiTheme="minorHAnsi" w:hAnsiTheme="minorHAnsi"/>
          <w:lang w:val="ru-RU"/>
        </w:rPr>
        <w:t xml:space="preserve"> </w:t>
      </w:r>
      <w:r w:rsidR="004F267C" w:rsidRPr="00F8199B">
        <w:rPr>
          <w:rFonts w:asciiTheme="minorHAnsi" w:hAnsiTheme="minorHAnsi"/>
          <w:lang w:val="ru-RU"/>
        </w:rPr>
        <w:t>критицизме по отношению к государству среди населения КБР.</w:t>
      </w:r>
      <w:proofErr w:type="gramEnd"/>
    </w:p>
    <w:p w:rsidR="0083294C" w:rsidRPr="00F8199B" w:rsidRDefault="00280CCA" w:rsidP="001A1A03">
      <w:pPr>
        <w:shd w:val="clear" w:color="auto" w:fill="FFFFFF"/>
        <w:spacing w:line="23" w:lineRule="atLeast"/>
        <w:jc w:val="center"/>
        <w:rPr>
          <w:rFonts w:asciiTheme="minorHAnsi" w:hAnsiTheme="minorHAnsi" w:cs="Arial"/>
          <w:b/>
          <w:bCs/>
          <w:color w:val="000000"/>
          <w:lang w:val="en-US"/>
        </w:rPr>
      </w:pPr>
      <w:r w:rsidRPr="00F8199B">
        <w:rPr>
          <w:rFonts w:asciiTheme="minorHAnsi" w:hAnsiTheme="minorHAnsi"/>
          <w:noProof/>
          <w:lang w:val="ru-RU"/>
        </w:rPr>
        <w:drawing>
          <wp:inline distT="0" distB="0" distL="0" distR="0">
            <wp:extent cx="5553075" cy="30752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r="6420" b="20639"/>
                    <a:stretch/>
                  </pic:blipFill>
                  <pic:spPr bwMode="auto">
                    <a:xfrm>
                      <a:off x="0" y="0"/>
                      <a:ext cx="5555473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267C" w:rsidRPr="00BC1188" w:rsidRDefault="004F267C" w:rsidP="00BF0D1C">
      <w:pPr>
        <w:widowControl w:val="0"/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/>
          <w:b/>
          <w:i/>
          <w:sz w:val="20"/>
          <w:lang w:val="ru-RU"/>
        </w:rPr>
      </w:pPr>
      <w:r w:rsidRPr="00BC1188">
        <w:rPr>
          <w:rFonts w:asciiTheme="minorHAnsi" w:hAnsiTheme="minorHAnsi"/>
          <w:bCs/>
          <w:i/>
          <w:color w:val="000000"/>
          <w:sz w:val="20"/>
          <w:lang w:val="ru-RU"/>
        </w:rPr>
        <w:t xml:space="preserve">Рисунок 1. </w:t>
      </w:r>
      <w:r w:rsidR="00B44A12" w:rsidRPr="00BC1188">
        <w:rPr>
          <w:rFonts w:asciiTheme="minorHAnsi" w:hAnsiTheme="minorHAnsi"/>
          <w:bCs/>
          <w:i/>
          <w:color w:val="000000"/>
          <w:sz w:val="20"/>
          <w:lang w:val="ru-RU"/>
        </w:rPr>
        <w:t>Общественное мнение в отношении добровольной общественной деятельности.</w:t>
      </w:r>
    </w:p>
    <w:p w:rsidR="00975D41" w:rsidRPr="00A74422" w:rsidRDefault="00975D41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lang w:val="ru-RU"/>
        </w:rPr>
      </w:pPr>
    </w:p>
    <w:p w:rsidR="00F54D2C" w:rsidRPr="00F8199B" w:rsidRDefault="001C5080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bCs/>
          <w:color w:val="000000"/>
          <w:lang w:val="ru-RU"/>
        </w:rPr>
      </w:pPr>
      <w:r w:rsidRPr="00F8199B">
        <w:rPr>
          <w:rFonts w:asciiTheme="minorHAnsi" w:hAnsiTheme="minorHAnsi"/>
          <w:lang w:val="ru-RU"/>
        </w:rPr>
        <w:t xml:space="preserve">Эти выводы подтверждаются оценками респондентов в отношении </w:t>
      </w:r>
      <w:r w:rsidRPr="00F8199B">
        <w:rPr>
          <w:rFonts w:asciiTheme="minorHAnsi" w:hAnsiTheme="minorHAnsi"/>
          <w:bCs/>
          <w:color w:val="000000"/>
          <w:lang w:val="ru-RU"/>
        </w:rPr>
        <w:t>уместны</w:t>
      </w:r>
      <w:r w:rsidR="004378F4">
        <w:rPr>
          <w:rFonts w:asciiTheme="minorHAnsi" w:hAnsiTheme="minorHAnsi"/>
          <w:bCs/>
          <w:color w:val="000000"/>
          <w:lang w:val="ru-RU"/>
        </w:rPr>
        <w:t>х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 и допустимы</w:t>
      </w:r>
      <w:r w:rsidR="004378F4">
        <w:rPr>
          <w:rFonts w:asciiTheme="minorHAnsi" w:hAnsiTheme="minorHAnsi"/>
          <w:bCs/>
          <w:color w:val="000000"/>
          <w:lang w:val="ru-RU"/>
        </w:rPr>
        <w:t>х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 для общественных, негосударственных организаций</w:t>
      </w:r>
      <w:r w:rsidRPr="00F8199B">
        <w:rPr>
          <w:rFonts w:asciiTheme="minorHAnsi" w:hAnsiTheme="minorHAnsi"/>
          <w:lang w:val="ru-RU"/>
        </w:rPr>
        <w:t xml:space="preserve"> 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видов деятельности (рисунок 2). </w:t>
      </w:r>
      <w:r w:rsidR="00C11745" w:rsidRPr="00F8199B">
        <w:rPr>
          <w:rFonts w:asciiTheme="minorHAnsi" w:hAnsiTheme="minorHAnsi"/>
          <w:bCs/>
          <w:color w:val="000000"/>
          <w:lang w:val="ru-RU"/>
        </w:rPr>
        <w:t>Вслед за наиболее популярным в обеих республиках ответом «содействие правительству в осуществлении целей государственной политики», б</w:t>
      </w:r>
      <w:r w:rsidR="00936343" w:rsidRPr="00F8199B">
        <w:rPr>
          <w:rFonts w:asciiTheme="minorHAnsi" w:hAnsiTheme="minorHAnsi"/>
          <w:bCs/>
          <w:color w:val="000000"/>
          <w:lang w:val="ru-RU"/>
        </w:rPr>
        <w:t>ольше половины опрошенных в КБР – 54,23</w:t>
      </w:r>
      <w:r w:rsidR="004378F4">
        <w:rPr>
          <w:rFonts w:asciiTheme="minorHAnsi" w:hAnsiTheme="minorHAnsi"/>
          <w:bCs/>
          <w:color w:val="000000"/>
          <w:lang w:val="ru-RU"/>
        </w:rPr>
        <w:t>%</w:t>
      </w:r>
      <w:r w:rsidR="00936343" w:rsidRPr="00F8199B">
        <w:rPr>
          <w:rFonts w:asciiTheme="minorHAnsi" w:hAnsiTheme="minorHAnsi"/>
          <w:bCs/>
          <w:color w:val="000000"/>
          <w:lang w:val="ru-RU"/>
        </w:rPr>
        <w:t xml:space="preserve"> </w:t>
      </w:r>
      <w:r w:rsidR="00C11745" w:rsidRPr="00F8199B">
        <w:rPr>
          <w:rFonts w:asciiTheme="minorHAnsi" w:hAnsiTheme="minorHAnsi"/>
          <w:bCs/>
          <w:color w:val="000000"/>
          <w:lang w:val="ru-RU"/>
        </w:rPr>
        <w:t xml:space="preserve">– </w:t>
      </w:r>
      <w:r w:rsidR="00936343" w:rsidRPr="00F8199B">
        <w:rPr>
          <w:rFonts w:asciiTheme="minorHAnsi" w:hAnsiTheme="minorHAnsi"/>
          <w:bCs/>
          <w:color w:val="000000"/>
          <w:lang w:val="ru-RU"/>
        </w:rPr>
        <w:t>согласны с тем, что</w:t>
      </w:r>
      <w:r w:rsidR="00936343" w:rsidRPr="00F8199B">
        <w:rPr>
          <w:rFonts w:asciiTheme="minorHAnsi" w:hAnsiTheme="minorHAnsi"/>
          <w:lang w:val="ru-RU"/>
        </w:rPr>
        <w:t xml:space="preserve"> </w:t>
      </w:r>
      <w:r w:rsidR="00936343" w:rsidRPr="00F8199B">
        <w:rPr>
          <w:rFonts w:asciiTheme="minorHAnsi" w:hAnsiTheme="minorHAnsi"/>
          <w:bCs/>
          <w:color w:val="000000"/>
          <w:lang w:val="ru-RU"/>
        </w:rPr>
        <w:t xml:space="preserve">общественные организации вправе критиковать </w:t>
      </w:r>
      <w:r w:rsidR="00B06C7E" w:rsidRPr="00F8199B">
        <w:rPr>
          <w:rFonts w:asciiTheme="minorHAnsi" w:hAnsiTheme="minorHAnsi"/>
          <w:bCs/>
          <w:color w:val="000000"/>
          <w:lang w:val="ru-RU"/>
        </w:rPr>
        <w:t xml:space="preserve">правительство </w:t>
      </w:r>
      <w:proofErr w:type="gramStart"/>
      <w:r w:rsidR="00B06C7E" w:rsidRPr="00F8199B">
        <w:rPr>
          <w:rFonts w:asciiTheme="minorHAnsi" w:hAnsiTheme="minorHAnsi"/>
          <w:bCs/>
          <w:color w:val="000000"/>
          <w:lang w:val="ru-RU"/>
        </w:rPr>
        <w:t>за</w:t>
      </w:r>
      <w:proofErr w:type="gramEnd"/>
      <w:r w:rsidR="00B06C7E" w:rsidRPr="00F8199B">
        <w:rPr>
          <w:rFonts w:asciiTheme="minorHAnsi" w:hAnsiTheme="minorHAnsi"/>
          <w:bCs/>
          <w:color w:val="000000"/>
          <w:lang w:val="ru-RU"/>
        </w:rPr>
        <w:t xml:space="preserve"> </w:t>
      </w:r>
      <w:proofErr w:type="gramStart"/>
      <w:r w:rsidR="00936343" w:rsidRPr="00F8199B">
        <w:rPr>
          <w:rFonts w:asciiTheme="minorHAnsi" w:hAnsiTheme="minorHAnsi"/>
          <w:bCs/>
          <w:color w:val="000000"/>
          <w:lang w:val="ru-RU"/>
        </w:rPr>
        <w:t>политически</w:t>
      </w:r>
      <w:r w:rsidR="00B06C7E" w:rsidRPr="00F8199B">
        <w:rPr>
          <w:rFonts w:asciiTheme="minorHAnsi" w:hAnsiTheme="minorHAnsi"/>
          <w:bCs/>
          <w:color w:val="000000"/>
          <w:lang w:val="ru-RU"/>
        </w:rPr>
        <w:t>е</w:t>
      </w:r>
      <w:proofErr w:type="gramEnd"/>
      <w:r w:rsidR="00B06C7E" w:rsidRPr="00F8199B">
        <w:rPr>
          <w:rFonts w:asciiTheme="minorHAnsi" w:hAnsiTheme="minorHAnsi"/>
          <w:bCs/>
          <w:color w:val="000000"/>
          <w:lang w:val="ru-RU"/>
        </w:rPr>
        <w:t xml:space="preserve"> </w:t>
      </w:r>
      <w:r w:rsidR="00936343" w:rsidRPr="00F8199B">
        <w:rPr>
          <w:rFonts w:asciiTheme="minorHAnsi" w:hAnsiTheme="minorHAnsi"/>
          <w:bCs/>
          <w:color w:val="000000"/>
          <w:lang w:val="ru-RU"/>
        </w:rPr>
        <w:t>ошибк</w:t>
      </w:r>
      <w:r w:rsidR="00B06C7E" w:rsidRPr="00F8199B">
        <w:rPr>
          <w:rFonts w:asciiTheme="minorHAnsi" w:hAnsiTheme="minorHAnsi"/>
          <w:bCs/>
          <w:color w:val="000000"/>
          <w:lang w:val="ru-RU"/>
        </w:rPr>
        <w:t>и</w:t>
      </w:r>
      <w:r w:rsidR="00936343" w:rsidRPr="00F8199B">
        <w:rPr>
          <w:rFonts w:asciiTheme="minorHAnsi" w:hAnsiTheme="minorHAnsi"/>
          <w:bCs/>
          <w:color w:val="000000"/>
          <w:lang w:val="ru-RU"/>
        </w:rPr>
        <w:t xml:space="preserve"> в </w:t>
      </w:r>
      <w:r w:rsidR="00BC1188">
        <w:rPr>
          <w:rFonts w:asciiTheme="minorHAnsi" w:hAnsiTheme="minorHAnsi"/>
          <w:bCs/>
          <w:color w:val="000000"/>
          <w:lang w:val="ru-RU"/>
        </w:rPr>
        <w:t>СМИ</w:t>
      </w:r>
      <w:r w:rsidR="00B06C7E" w:rsidRPr="00F8199B">
        <w:rPr>
          <w:rFonts w:asciiTheme="minorHAnsi" w:hAnsiTheme="minorHAnsi"/>
          <w:bCs/>
          <w:color w:val="000000"/>
          <w:lang w:val="ru-RU"/>
        </w:rPr>
        <w:t xml:space="preserve">. </w:t>
      </w:r>
      <w:r w:rsidR="00C11745" w:rsidRPr="00F8199B">
        <w:rPr>
          <w:rFonts w:asciiTheme="minorHAnsi" w:hAnsiTheme="minorHAnsi"/>
          <w:bCs/>
          <w:color w:val="000000"/>
          <w:lang w:val="ru-RU"/>
        </w:rPr>
        <w:t>В сравнении эта альтернатива набрала лишь 22,61% в КЧР</w:t>
      </w:r>
      <w:r w:rsidR="003C20DE" w:rsidRPr="00F8199B">
        <w:rPr>
          <w:rFonts w:asciiTheme="minorHAnsi" w:hAnsiTheme="minorHAnsi"/>
          <w:bCs/>
          <w:color w:val="000000"/>
          <w:lang w:val="ru-RU"/>
        </w:rPr>
        <w:t>.</w:t>
      </w:r>
      <w:r w:rsidR="00C11745" w:rsidRPr="00F8199B">
        <w:rPr>
          <w:rFonts w:asciiTheme="minorHAnsi" w:hAnsiTheme="minorHAnsi"/>
          <w:bCs/>
          <w:color w:val="000000"/>
          <w:lang w:val="ru-RU"/>
        </w:rPr>
        <w:t xml:space="preserve"> </w:t>
      </w:r>
      <w:r w:rsidR="003C20DE" w:rsidRPr="00F8199B">
        <w:rPr>
          <w:rFonts w:asciiTheme="minorHAnsi" w:hAnsiTheme="minorHAnsi"/>
          <w:bCs/>
          <w:color w:val="000000"/>
          <w:lang w:val="ru-RU"/>
        </w:rPr>
        <w:t>Количество т</w:t>
      </w:r>
      <w:r w:rsidR="00F54D2C" w:rsidRPr="00F8199B">
        <w:rPr>
          <w:rFonts w:asciiTheme="minorHAnsi" w:hAnsiTheme="minorHAnsi"/>
          <w:bCs/>
          <w:color w:val="000000"/>
          <w:lang w:val="ru-RU"/>
        </w:rPr>
        <w:t>е</w:t>
      </w:r>
      <w:r w:rsidR="003C20DE" w:rsidRPr="00F8199B">
        <w:rPr>
          <w:rFonts w:asciiTheme="minorHAnsi" w:hAnsiTheme="minorHAnsi"/>
          <w:bCs/>
          <w:color w:val="000000"/>
          <w:lang w:val="ru-RU"/>
        </w:rPr>
        <w:t>х</w:t>
      </w:r>
      <w:r w:rsidR="00F54D2C" w:rsidRPr="00F8199B">
        <w:rPr>
          <w:rFonts w:asciiTheme="minorHAnsi" w:hAnsiTheme="minorHAnsi"/>
          <w:bCs/>
          <w:color w:val="000000"/>
          <w:lang w:val="ru-RU"/>
        </w:rPr>
        <w:t xml:space="preserve">, кто поддерживают право общественных организаций критиковать местные власти в случае плохого выполнения ими управленческих функций, </w:t>
      </w:r>
      <w:r w:rsidR="000A5B69" w:rsidRPr="00F8199B">
        <w:rPr>
          <w:rFonts w:asciiTheme="minorHAnsi" w:hAnsiTheme="minorHAnsi"/>
          <w:bCs/>
          <w:color w:val="000000"/>
          <w:lang w:val="ru-RU"/>
        </w:rPr>
        <w:t>составля</w:t>
      </w:r>
      <w:r w:rsidR="003C20DE" w:rsidRPr="00F8199B">
        <w:rPr>
          <w:rFonts w:asciiTheme="minorHAnsi" w:hAnsiTheme="minorHAnsi"/>
          <w:bCs/>
          <w:color w:val="000000"/>
          <w:lang w:val="ru-RU"/>
        </w:rPr>
        <w:t>е</w:t>
      </w:r>
      <w:r w:rsidR="000A5B69" w:rsidRPr="00F8199B">
        <w:rPr>
          <w:rFonts w:asciiTheme="minorHAnsi" w:hAnsiTheme="minorHAnsi"/>
          <w:bCs/>
          <w:color w:val="000000"/>
          <w:lang w:val="ru-RU"/>
        </w:rPr>
        <w:t>т</w:t>
      </w:r>
      <w:r w:rsidR="00F54D2C" w:rsidRPr="00F8199B">
        <w:rPr>
          <w:rFonts w:asciiTheme="minorHAnsi" w:hAnsiTheme="minorHAnsi"/>
          <w:bCs/>
          <w:color w:val="000000"/>
          <w:lang w:val="ru-RU"/>
        </w:rPr>
        <w:t xml:space="preserve"> </w:t>
      </w:r>
      <w:r w:rsidR="000A5B69" w:rsidRPr="00F8199B">
        <w:rPr>
          <w:rFonts w:asciiTheme="minorHAnsi" w:hAnsiTheme="minorHAnsi"/>
          <w:bCs/>
          <w:color w:val="000000"/>
          <w:lang w:val="ru-RU"/>
        </w:rPr>
        <w:t>56</w:t>
      </w:r>
      <w:r w:rsidR="00BC1188">
        <w:rPr>
          <w:rFonts w:asciiTheme="minorHAnsi" w:hAnsiTheme="minorHAnsi"/>
          <w:bCs/>
          <w:color w:val="000000"/>
          <w:lang w:val="ru-RU"/>
        </w:rPr>
        <w:t>,</w:t>
      </w:r>
      <w:r w:rsidR="000A5B69" w:rsidRPr="00F8199B">
        <w:rPr>
          <w:rFonts w:asciiTheme="minorHAnsi" w:hAnsiTheme="minorHAnsi"/>
          <w:bCs/>
          <w:color w:val="000000"/>
          <w:lang w:val="ru-RU"/>
        </w:rPr>
        <w:t>31% в КБР и 30</w:t>
      </w:r>
      <w:r w:rsidR="00BC1188">
        <w:rPr>
          <w:rFonts w:asciiTheme="minorHAnsi" w:hAnsiTheme="minorHAnsi"/>
          <w:bCs/>
          <w:color w:val="000000"/>
          <w:lang w:val="ru-RU"/>
        </w:rPr>
        <w:t>,</w:t>
      </w:r>
      <w:r w:rsidR="000A5B69" w:rsidRPr="00F8199B">
        <w:rPr>
          <w:rFonts w:asciiTheme="minorHAnsi" w:hAnsiTheme="minorHAnsi"/>
          <w:bCs/>
          <w:color w:val="000000"/>
          <w:lang w:val="ru-RU"/>
        </w:rPr>
        <w:t>96% в КЧР. Другое заметное отличие между республиками наблюдается в выборе альтернативы «</w:t>
      </w:r>
      <w:r w:rsidR="00F86E42" w:rsidRPr="00F8199B">
        <w:rPr>
          <w:rFonts w:asciiTheme="minorHAnsi" w:hAnsiTheme="minorHAnsi"/>
          <w:bCs/>
          <w:color w:val="000000"/>
          <w:lang w:val="ru-RU"/>
        </w:rPr>
        <w:t>п</w:t>
      </w:r>
      <w:r w:rsidR="000A5B69" w:rsidRPr="00F8199B">
        <w:rPr>
          <w:rFonts w:asciiTheme="minorHAnsi" w:hAnsiTheme="minorHAnsi"/>
          <w:bCs/>
          <w:color w:val="000000"/>
          <w:lang w:val="ru-RU"/>
        </w:rPr>
        <w:t>оддержка акций против местных властей»</w:t>
      </w:r>
      <w:r w:rsidR="00F86E42" w:rsidRPr="00F8199B">
        <w:rPr>
          <w:rFonts w:asciiTheme="minorHAnsi" w:hAnsiTheme="minorHAnsi"/>
          <w:bCs/>
          <w:color w:val="000000"/>
          <w:lang w:val="ru-RU"/>
        </w:rPr>
        <w:t xml:space="preserve"> – 30</w:t>
      </w:r>
      <w:r w:rsidR="00BC1188">
        <w:rPr>
          <w:rFonts w:asciiTheme="minorHAnsi" w:hAnsiTheme="minorHAnsi"/>
          <w:bCs/>
          <w:color w:val="000000"/>
          <w:lang w:val="ru-RU"/>
        </w:rPr>
        <w:t>,</w:t>
      </w:r>
      <w:r w:rsidR="00F86E42" w:rsidRPr="00F8199B">
        <w:rPr>
          <w:rFonts w:asciiTheme="minorHAnsi" w:hAnsiTheme="minorHAnsi"/>
          <w:bCs/>
          <w:color w:val="000000"/>
          <w:lang w:val="ru-RU"/>
        </w:rPr>
        <w:t>1% и 17</w:t>
      </w:r>
      <w:r w:rsidR="00BC1188">
        <w:rPr>
          <w:rFonts w:asciiTheme="minorHAnsi" w:hAnsiTheme="minorHAnsi"/>
          <w:bCs/>
          <w:color w:val="000000"/>
          <w:lang w:val="ru-RU"/>
        </w:rPr>
        <w:t>,</w:t>
      </w:r>
      <w:r w:rsidR="00F86E42" w:rsidRPr="00F8199B">
        <w:rPr>
          <w:rFonts w:asciiTheme="minorHAnsi" w:hAnsiTheme="minorHAnsi"/>
          <w:bCs/>
          <w:color w:val="000000"/>
          <w:lang w:val="ru-RU"/>
        </w:rPr>
        <w:t>31% в КБР и КЧР, соответственно.</w:t>
      </w:r>
    </w:p>
    <w:p w:rsidR="004A2148" w:rsidRPr="00F8199B" w:rsidRDefault="00190367" w:rsidP="001A1A03">
      <w:pPr>
        <w:widowControl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/>
          <w:b/>
          <w:bCs/>
          <w:color w:val="000000"/>
          <w:lang w:val="ru-RU"/>
        </w:rPr>
      </w:pPr>
      <w:r w:rsidRPr="00F8199B">
        <w:rPr>
          <w:rFonts w:asciiTheme="minorHAnsi" w:hAnsiTheme="minorHAnsi"/>
          <w:noProof/>
          <w:lang w:val="ru-RU"/>
        </w:rPr>
        <w:lastRenderedPageBreak/>
        <w:drawing>
          <wp:inline distT="0" distB="0" distL="0" distR="0">
            <wp:extent cx="5543550" cy="27324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r="6581" b="29484"/>
                    <a:stretch/>
                  </pic:blipFill>
                  <pic:spPr bwMode="auto">
                    <a:xfrm>
                      <a:off x="0" y="0"/>
                      <a:ext cx="5549482" cy="2735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36860" w:rsidRPr="00BC1188" w:rsidRDefault="00136860" w:rsidP="00BF0D1C">
      <w:pPr>
        <w:widowControl w:val="0"/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/>
          <w:bCs/>
          <w:i/>
          <w:color w:val="000000"/>
          <w:sz w:val="20"/>
          <w:lang w:val="ru-RU"/>
        </w:rPr>
      </w:pPr>
      <w:r w:rsidRPr="00BC1188">
        <w:rPr>
          <w:rFonts w:asciiTheme="minorHAnsi" w:hAnsiTheme="minorHAnsi"/>
          <w:bCs/>
          <w:i/>
          <w:color w:val="000000"/>
          <w:sz w:val="20"/>
          <w:lang w:val="ru-RU"/>
        </w:rPr>
        <w:t>Рисунок 2. Допустимые для общественных организаций, по мнению опрошенных, виды деятельности</w:t>
      </w:r>
    </w:p>
    <w:p w:rsidR="00975D41" w:rsidRPr="00A74422" w:rsidRDefault="00975D41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bCs/>
          <w:color w:val="000000"/>
          <w:lang w:val="ru-RU"/>
        </w:rPr>
      </w:pPr>
    </w:p>
    <w:p w:rsidR="00982802" w:rsidRPr="00F8199B" w:rsidRDefault="00F157C2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bCs/>
          <w:color w:val="000000"/>
          <w:lang w:val="ru-RU"/>
        </w:rPr>
      </w:pPr>
      <w:r w:rsidRPr="00F8199B">
        <w:rPr>
          <w:rFonts w:asciiTheme="minorHAnsi" w:hAnsiTheme="minorHAnsi"/>
          <w:bCs/>
          <w:color w:val="000000"/>
          <w:lang w:val="ru-RU"/>
        </w:rPr>
        <w:t>Схожие различия наблюдаются в распределении оценок респондентов в отношении того, ч</w:t>
      </w:r>
      <w:r w:rsidR="003C20DE" w:rsidRPr="00F8199B">
        <w:rPr>
          <w:rFonts w:asciiTheme="minorHAnsi" w:hAnsiTheme="minorHAnsi"/>
          <w:bCs/>
          <w:color w:val="000000"/>
          <w:lang w:val="ru-RU"/>
        </w:rPr>
        <w:t>то</w:t>
      </w:r>
      <w:r w:rsidRPr="00F8199B">
        <w:rPr>
          <w:rFonts w:asciiTheme="minorHAnsi" w:hAnsiTheme="minorHAnsi"/>
          <w:bCs/>
          <w:color w:val="000000"/>
          <w:lang w:val="ru-RU"/>
        </w:rPr>
        <w:t>, по мнению опрошенных,</w:t>
      </w:r>
      <w:r w:rsidR="003C20DE" w:rsidRPr="00F8199B">
        <w:rPr>
          <w:rFonts w:asciiTheme="minorHAnsi" w:hAnsiTheme="minorHAnsi"/>
          <w:bCs/>
          <w:color w:val="000000"/>
          <w:lang w:val="ru-RU"/>
        </w:rPr>
        <w:t xml:space="preserve"> больше способствует стабильности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 (рисунок 3).</w:t>
      </w:r>
      <w:r w:rsidR="00A752A7" w:rsidRPr="00F8199B">
        <w:rPr>
          <w:rFonts w:asciiTheme="minorHAnsi" w:hAnsiTheme="minorHAnsi"/>
          <w:bCs/>
          <w:color w:val="000000"/>
          <w:lang w:val="ru-RU"/>
        </w:rPr>
        <w:t xml:space="preserve"> Количество респондентов убежденных в том, что </w:t>
      </w:r>
      <w:r w:rsidR="00F72409" w:rsidRPr="00F8199B">
        <w:rPr>
          <w:rFonts w:asciiTheme="minorHAnsi" w:hAnsiTheme="minorHAnsi"/>
          <w:bCs/>
          <w:color w:val="000000"/>
          <w:lang w:val="ru-RU"/>
        </w:rPr>
        <w:t>с</w:t>
      </w:r>
      <w:r w:rsidR="00A752A7" w:rsidRPr="00F8199B">
        <w:rPr>
          <w:rFonts w:asciiTheme="minorHAnsi" w:hAnsiTheme="minorHAnsi"/>
          <w:bCs/>
          <w:color w:val="000000"/>
          <w:lang w:val="ru-RU"/>
        </w:rPr>
        <w:t>ильное правительство, которое полностью контролирует политическую жизнь и все партии</w:t>
      </w:r>
      <w:r w:rsidR="00F72409" w:rsidRPr="00F8199B">
        <w:rPr>
          <w:rFonts w:asciiTheme="minorHAnsi" w:hAnsiTheme="minorHAnsi"/>
          <w:bCs/>
          <w:color w:val="000000"/>
          <w:lang w:val="ru-RU"/>
        </w:rPr>
        <w:t xml:space="preserve"> лучше для стабильности меньше в КБР </w:t>
      </w:r>
      <w:r w:rsidR="00F72409" w:rsidRPr="00F8199B">
        <w:rPr>
          <w:rFonts w:asciiTheme="minorHAnsi" w:hAnsiTheme="minorHAnsi"/>
          <w:lang w:val="ru-RU"/>
        </w:rPr>
        <w:t>– 27,67% против 32,59% в</w:t>
      </w:r>
      <w:r w:rsidR="00F72409" w:rsidRPr="00F8199B">
        <w:rPr>
          <w:rFonts w:asciiTheme="minorHAnsi" w:hAnsiTheme="minorHAnsi"/>
          <w:bCs/>
          <w:color w:val="000000"/>
          <w:lang w:val="ru-RU"/>
        </w:rPr>
        <w:t xml:space="preserve"> КЧР</w:t>
      </w:r>
      <w:r w:rsidR="00F72409" w:rsidRPr="00F8199B">
        <w:rPr>
          <w:rFonts w:asciiTheme="minorHAnsi" w:hAnsiTheme="minorHAnsi"/>
          <w:lang w:val="ru-RU"/>
        </w:rPr>
        <w:t>.</w:t>
      </w:r>
      <w:r w:rsidR="00982802" w:rsidRPr="00F8199B">
        <w:rPr>
          <w:rFonts w:asciiTheme="minorHAnsi" w:hAnsiTheme="minorHAnsi"/>
          <w:lang w:val="ru-RU"/>
        </w:rPr>
        <w:t xml:space="preserve"> Соответственно тех, кто считает, что </w:t>
      </w:r>
      <w:r w:rsidR="00982802" w:rsidRPr="00F8199B">
        <w:rPr>
          <w:rFonts w:asciiTheme="minorHAnsi" w:hAnsiTheme="minorHAnsi"/>
          <w:bCs/>
          <w:color w:val="000000"/>
          <w:lang w:val="ru-RU"/>
        </w:rPr>
        <w:t>сильная оппозиция и сильное правительство должны взаимодействовать для обеспечения стабильности в политической жизни несколько больше в КБР</w:t>
      </w:r>
      <w:r w:rsidR="003D2624" w:rsidRPr="00F8199B">
        <w:rPr>
          <w:rFonts w:asciiTheme="minorHAnsi" w:hAnsiTheme="minorHAnsi"/>
          <w:bCs/>
          <w:color w:val="000000"/>
          <w:lang w:val="ru-RU"/>
        </w:rPr>
        <w:t>, чем КЧР</w:t>
      </w:r>
      <w:r w:rsidR="00982802" w:rsidRPr="00F8199B">
        <w:rPr>
          <w:rFonts w:asciiTheme="minorHAnsi" w:hAnsiTheme="minorHAnsi"/>
          <w:bCs/>
          <w:color w:val="000000"/>
          <w:lang w:val="ru-RU"/>
        </w:rPr>
        <w:t xml:space="preserve"> – </w:t>
      </w:r>
      <w:r w:rsidR="00982802" w:rsidRPr="00F8199B">
        <w:rPr>
          <w:rFonts w:asciiTheme="minorHAnsi" w:hAnsiTheme="minorHAnsi"/>
          <w:lang w:val="ru-RU"/>
        </w:rPr>
        <w:t xml:space="preserve">18,93% </w:t>
      </w:r>
      <w:r w:rsidR="003D2624" w:rsidRPr="00F8199B">
        <w:rPr>
          <w:rFonts w:asciiTheme="minorHAnsi" w:hAnsiTheme="minorHAnsi"/>
          <w:lang w:val="ru-RU"/>
        </w:rPr>
        <w:t>и</w:t>
      </w:r>
      <w:r w:rsidR="00982802" w:rsidRPr="00F8199B">
        <w:rPr>
          <w:rFonts w:asciiTheme="minorHAnsi" w:hAnsiTheme="minorHAnsi"/>
          <w:lang w:val="ru-RU"/>
        </w:rPr>
        <w:t xml:space="preserve"> 11,61%</w:t>
      </w:r>
      <w:r w:rsidR="003D2624" w:rsidRPr="00F8199B">
        <w:rPr>
          <w:rFonts w:asciiTheme="minorHAnsi" w:hAnsiTheme="minorHAnsi"/>
          <w:lang w:val="ru-RU"/>
        </w:rPr>
        <w:t>, соответственно</w:t>
      </w:r>
      <w:r w:rsidR="00982802" w:rsidRPr="00F8199B">
        <w:rPr>
          <w:rFonts w:asciiTheme="minorHAnsi" w:hAnsiTheme="minorHAnsi"/>
          <w:lang w:val="ru-RU"/>
        </w:rPr>
        <w:t>.</w:t>
      </w:r>
    </w:p>
    <w:p w:rsidR="00E662A4" w:rsidRPr="00F8199B" w:rsidRDefault="00E662A4" w:rsidP="001A1A03">
      <w:pPr>
        <w:shd w:val="clear" w:color="auto" w:fill="FFFFFF"/>
        <w:spacing w:line="23" w:lineRule="atLeast"/>
        <w:jc w:val="center"/>
        <w:rPr>
          <w:rFonts w:asciiTheme="minorHAnsi" w:hAnsiTheme="minorHAnsi"/>
          <w:b/>
          <w:bCs/>
          <w:color w:val="000000"/>
          <w:lang w:val="en-US"/>
        </w:rPr>
      </w:pPr>
      <w:r w:rsidRPr="00F8199B">
        <w:rPr>
          <w:rFonts w:asciiTheme="minorHAnsi" w:hAnsiTheme="minorHAnsi"/>
          <w:noProof/>
          <w:lang w:val="ru-RU"/>
        </w:rPr>
        <w:drawing>
          <wp:inline distT="0" distB="0" distL="0" distR="0">
            <wp:extent cx="5686425" cy="2266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r="4215" b="41523"/>
                    <a:stretch/>
                  </pic:blipFill>
                  <pic:spPr bwMode="auto">
                    <a:xfrm>
                      <a:off x="0" y="0"/>
                      <a:ext cx="568642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52A7" w:rsidRPr="00BC1188" w:rsidRDefault="003D2624" w:rsidP="00BF0D1C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/>
          <w:bCs/>
          <w:i/>
          <w:color w:val="000000"/>
          <w:sz w:val="20"/>
          <w:lang w:val="ru-RU"/>
        </w:rPr>
      </w:pPr>
      <w:r w:rsidRPr="00BC1188">
        <w:rPr>
          <w:rFonts w:asciiTheme="minorHAnsi" w:hAnsiTheme="minorHAnsi"/>
          <w:bCs/>
          <w:i/>
          <w:color w:val="000000"/>
          <w:sz w:val="20"/>
          <w:lang w:val="ru-RU"/>
        </w:rPr>
        <w:t>Рисунок 3. Государство и гражданское общество как факторы стабильности.</w:t>
      </w:r>
    </w:p>
    <w:p w:rsidR="00975D41" w:rsidRPr="00A74422" w:rsidRDefault="00975D41" w:rsidP="001A1A03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/>
          <w:lang w:val="ru-RU"/>
        </w:rPr>
      </w:pPr>
    </w:p>
    <w:p w:rsidR="00D0631A" w:rsidRPr="00F8199B" w:rsidRDefault="00D0631A" w:rsidP="001A1A03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/>
          <w:lang w:val="ru-RU"/>
        </w:rPr>
      </w:pPr>
      <w:r w:rsidRPr="00F8199B">
        <w:rPr>
          <w:rFonts w:asciiTheme="minorHAnsi" w:hAnsiTheme="minorHAnsi"/>
          <w:lang w:val="ru-RU"/>
        </w:rPr>
        <w:t xml:space="preserve">Несмотря на то, что в рейтинге доверия к различным институтам, общественные организации находятся </w:t>
      </w:r>
      <w:r w:rsidR="001105C0">
        <w:rPr>
          <w:rFonts w:asciiTheme="minorHAnsi" w:hAnsiTheme="minorHAnsi"/>
          <w:lang w:val="ru-RU"/>
        </w:rPr>
        <w:t>в обеих республиках не на первых местах</w:t>
      </w:r>
      <w:r w:rsidRPr="00F8199B">
        <w:rPr>
          <w:rFonts w:asciiTheme="minorHAnsi" w:hAnsiTheme="minorHAnsi"/>
          <w:lang w:val="ru-RU"/>
        </w:rPr>
        <w:t xml:space="preserve">, в КБР им доверяет </w:t>
      </w:r>
      <w:r w:rsidR="007F299F">
        <w:rPr>
          <w:rFonts w:asciiTheme="minorHAnsi" w:hAnsiTheme="minorHAnsi"/>
          <w:lang w:val="ru-RU"/>
        </w:rPr>
        <w:t>вдвое</w:t>
      </w:r>
      <w:r w:rsidR="001105C0">
        <w:rPr>
          <w:rFonts w:asciiTheme="minorHAnsi" w:hAnsiTheme="minorHAnsi"/>
          <w:lang w:val="ru-RU"/>
        </w:rPr>
        <w:t xml:space="preserve"> </w:t>
      </w:r>
      <w:r w:rsidR="007F299F">
        <w:rPr>
          <w:rFonts w:asciiTheme="minorHAnsi" w:hAnsiTheme="minorHAnsi"/>
          <w:lang w:val="ru-RU"/>
        </w:rPr>
        <w:t>больш</w:t>
      </w:r>
      <w:r w:rsidRPr="00F8199B">
        <w:rPr>
          <w:rFonts w:asciiTheme="minorHAnsi" w:hAnsiTheme="minorHAnsi"/>
          <w:lang w:val="ru-RU"/>
        </w:rPr>
        <w:t>е респондентов – 37,38% против 18,33% в КЧР (рисунок 4).</w:t>
      </w:r>
    </w:p>
    <w:p w:rsidR="004A2148" w:rsidRPr="00F8199B" w:rsidRDefault="007F48D2" w:rsidP="001A1A03">
      <w:pPr>
        <w:widowControl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942091" cy="3085106"/>
            <wp:effectExtent l="0" t="0" r="190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b="20492"/>
                    <a:stretch/>
                  </pic:blipFill>
                  <pic:spPr bwMode="auto">
                    <a:xfrm>
                      <a:off x="0" y="0"/>
                      <a:ext cx="5940425" cy="3084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12A9" w:rsidRPr="008B3ABE" w:rsidRDefault="005212A9" w:rsidP="00BF0D1C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/>
          <w:bCs/>
          <w:i/>
          <w:color w:val="000000"/>
          <w:sz w:val="20"/>
          <w:lang w:val="ru-RU"/>
        </w:rPr>
      </w:pPr>
      <w:r w:rsidRPr="008B3ABE">
        <w:rPr>
          <w:rFonts w:asciiTheme="minorHAnsi" w:hAnsiTheme="minorHAnsi"/>
          <w:bCs/>
          <w:i/>
          <w:color w:val="000000"/>
          <w:sz w:val="20"/>
          <w:lang w:val="ru-RU"/>
        </w:rPr>
        <w:t>Рисунок 4. Доверие к различным институтам.</w:t>
      </w:r>
    </w:p>
    <w:p w:rsidR="001C5485" w:rsidRDefault="001C5485" w:rsidP="0016564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/>
          <w:lang w:val="ru-RU"/>
        </w:rPr>
      </w:pPr>
    </w:p>
    <w:p w:rsidR="001C5485" w:rsidRDefault="0034408F" w:rsidP="0016564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/>
          <w:lang w:val="ru-RU"/>
        </w:rPr>
      </w:pPr>
      <w:r w:rsidRPr="00165641">
        <w:rPr>
          <w:rFonts w:asciiTheme="minorHAnsi" w:hAnsiTheme="minorHAnsi"/>
          <w:lang w:val="ru-RU"/>
        </w:rPr>
        <w:t>Д</w:t>
      </w:r>
      <w:r w:rsidR="00165641">
        <w:rPr>
          <w:rFonts w:asciiTheme="minorHAnsi" w:hAnsiTheme="minorHAnsi"/>
          <w:lang w:val="ru-RU"/>
        </w:rPr>
        <w:t xml:space="preserve">оля респондентов в той или иной мере </w:t>
      </w:r>
      <w:r w:rsidR="001C5485">
        <w:rPr>
          <w:rFonts w:asciiTheme="minorHAnsi" w:hAnsiTheme="minorHAnsi"/>
          <w:lang w:val="ru-RU"/>
        </w:rPr>
        <w:t>принимающих в той или иной степени</w:t>
      </w:r>
      <w:r w:rsidR="00165641">
        <w:rPr>
          <w:rFonts w:asciiTheme="minorHAnsi" w:hAnsiTheme="minorHAnsi"/>
          <w:lang w:val="ru-RU"/>
        </w:rPr>
        <w:t xml:space="preserve"> </w:t>
      </w:r>
      <w:r w:rsidR="001C5485">
        <w:rPr>
          <w:rFonts w:asciiTheme="minorHAnsi" w:hAnsiTheme="minorHAnsi"/>
          <w:lang w:val="ru-RU"/>
        </w:rPr>
        <w:t xml:space="preserve">активное участие в </w:t>
      </w:r>
      <w:r w:rsidR="00165641">
        <w:rPr>
          <w:rFonts w:asciiTheme="minorHAnsi" w:hAnsiTheme="minorHAnsi"/>
          <w:lang w:val="ru-RU"/>
        </w:rPr>
        <w:t xml:space="preserve">общественных </w:t>
      </w:r>
      <w:r w:rsidR="001C5485">
        <w:rPr>
          <w:rFonts w:asciiTheme="minorHAnsi" w:hAnsiTheme="minorHAnsi"/>
          <w:lang w:val="ru-RU"/>
        </w:rPr>
        <w:t>движениях</w:t>
      </w:r>
      <w:r w:rsidR="00165641">
        <w:rPr>
          <w:rFonts w:asciiTheme="minorHAnsi" w:hAnsiTheme="minorHAnsi"/>
          <w:lang w:val="ru-RU"/>
        </w:rPr>
        <w:t xml:space="preserve"> соответственно</w:t>
      </w:r>
      <w:r w:rsidR="001C5485">
        <w:rPr>
          <w:rFonts w:asciiTheme="minorHAnsi" w:hAnsiTheme="minorHAnsi"/>
          <w:lang w:val="ru-RU"/>
        </w:rPr>
        <w:t xml:space="preserve"> незначительна в обеих республиках с незначительным перевесом в КБР (рисунок 5).</w:t>
      </w:r>
    </w:p>
    <w:p w:rsidR="0034408F" w:rsidRPr="00CE26B0" w:rsidRDefault="0034408F" w:rsidP="0034408F">
      <w:pPr>
        <w:spacing w:line="23" w:lineRule="atLeast"/>
        <w:rPr>
          <w:rFonts w:asciiTheme="minorHAnsi" w:hAnsiTheme="minorHAnsi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2091" cy="204348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b="47336"/>
                    <a:stretch/>
                  </pic:blipFill>
                  <pic:spPr bwMode="auto">
                    <a:xfrm>
                      <a:off x="0" y="0"/>
                      <a:ext cx="5940425" cy="2042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5485" w:rsidRPr="008B3ABE" w:rsidRDefault="001C5485" w:rsidP="00BF0D1C">
      <w:pPr>
        <w:autoSpaceDE w:val="0"/>
        <w:autoSpaceDN w:val="0"/>
        <w:adjustRightInd w:val="0"/>
        <w:spacing w:line="23" w:lineRule="atLeast"/>
        <w:jc w:val="center"/>
        <w:outlineLvl w:val="0"/>
        <w:rPr>
          <w:rFonts w:asciiTheme="minorHAnsi" w:hAnsiTheme="minorHAnsi"/>
          <w:bCs/>
          <w:i/>
          <w:color w:val="000000"/>
          <w:sz w:val="20"/>
          <w:lang w:val="ru-RU"/>
        </w:rPr>
      </w:pPr>
      <w:r w:rsidRPr="008B3ABE">
        <w:rPr>
          <w:rFonts w:asciiTheme="minorHAnsi" w:hAnsiTheme="minorHAnsi"/>
          <w:bCs/>
          <w:i/>
          <w:color w:val="000000"/>
          <w:sz w:val="20"/>
          <w:lang w:val="ru-RU"/>
        </w:rPr>
        <w:t xml:space="preserve">Рисунок </w:t>
      </w:r>
      <w:r>
        <w:rPr>
          <w:rFonts w:asciiTheme="minorHAnsi" w:hAnsiTheme="minorHAnsi"/>
          <w:bCs/>
          <w:i/>
          <w:color w:val="000000"/>
          <w:sz w:val="20"/>
          <w:lang w:val="ru-RU"/>
        </w:rPr>
        <w:t>5</w:t>
      </w:r>
      <w:r w:rsidRPr="008B3ABE">
        <w:rPr>
          <w:rFonts w:asciiTheme="minorHAnsi" w:hAnsiTheme="minorHAnsi"/>
          <w:bCs/>
          <w:i/>
          <w:color w:val="000000"/>
          <w:sz w:val="20"/>
          <w:lang w:val="ru-RU"/>
        </w:rPr>
        <w:t xml:space="preserve">. </w:t>
      </w:r>
      <w:r>
        <w:rPr>
          <w:rFonts w:asciiTheme="minorHAnsi" w:hAnsiTheme="minorHAnsi"/>
          <w:bCs/>
          <w:i/>
          <w:color w:val="000000"/>
          <w:sz w:val="20"/>
          <w:lang w:val="ru-RU"/>
        </w:rPr>
        <w:t>Участие в формальных общественных объединениях</w:t>
      </w:r>
      <w:r w:rsidR="00F51F46">
        <w:rPr>
          <w:rFonts w:asciiTheme="minorHAnsi" w:hAnsiTheme="minorHAnsi"/>
          <w:bCs/>
          <w:i/>
          <w:color w:val="000000"/>
          <w:sz w:val="20"/>
          <w:lang w:val="ru-RU"/>
        </w:rPr>
        <w:t>.</w:t>
      </w:r>
      <w:r w:rsidR="00F51F46">
        <w:rPr>
          <w:rStyle w:val="a5"/>
          <w:rFonts w:asciiTheme="minorHAnsi" w:hAnsiTheme="minorHAnsi"/>
          <w:bCs/>
          <w:i/>
          <w:color w:val="000000"/>
          <w:sz w:val="20"/>
          <w:lang w:val="ru-RU"/>
        </w:rPr>
        <w:footnoteReference w:id="10"/>
      </w:r>
    </w:p>
    <w:p w:rsidR="00975D41" w:rsidRPr="00A74422" w:rsidRDefault="00975D41" w:rsidP="001A1A03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/>
          <w:lang w:val="ru-RU"/>
        </w:rPr>
      </w:pPr>
    </w:p>
    <w:p w:rsidR="00E20149" w:rsidRDefault="00AE725D" w:rsidP="001A1A03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/>
          <w:bCs/>
          <w:color w:val="000000"/>
          <w:lang w:val="ru-RU"/>
        </w:rPr>
      </w:pPr>
      <w:r w:rsidRPr="00F8199B">
        <w:rPr>
          <w:rFonts w:asciiTheme="minorHAnsi" w:hAnsiTheme="minorHAnsi"/>
          <w:lang w:val="ru-RU"/>
        </w:rPr>
        <w:t xml:space="preserve">Выявленные различия в оценках гражданского общества в республиках были </w:t>
      </w:r>
      <w:r w:rsidR="00BF5ABF" w:rsidRPr="00F8199B">
        <w:rPr>
          <w:rFonts w:asciiTheme="minorHAnsi" w:hAnsiTheme="minorHAnsi"/>
          <w:lang w:val="ru-RU"/>
        </w:rPr>
        <w:t xml:space="preserve">далее </w:t>
      </w:r>
      <w:r w:rsidRPr="00F8199B">
        <w:rPr>
          <w:rFonts w:asciiTheme="minorHAnsi" w:hAnsiTheme="minorHAnsi"/>
          <w:lang w:val="ru-RU"/>
        </w:rPr>
        <w:t xml:space="preserve">интерпретированы с использованием </w:t>
      </w:r>
      <w:r w:rsidR="00BF5ABF" w:rsidRPr="00F8199B">
        <w:rPr>
          <w:rFonts w:asciiTheme="minorHAnsi" w:hAnsiTheme="minorHAnsi"/>
          <w:lang w:val="ru-RU"/>
        </w:rPr>
        <w:t xml:space="preserve">результатов </w:t>
      </w:r>
      <w:r w:rsidRPr="00F8199B">
        <w:rPr>
          <w:rFonts w:asciiTheme="minorHAnsi" w:hAnsiTheme="minorHAnsi"/>
          <w:lang w:val="ru-RU"/>
        </w:rPr>
        <w:t xml:space="preserve">качественных интервью и </w:t>
      </w:r>
      <w:r w:rsidR="00BF5ABF" w:rsidRPr="00F8199B">
        <w:rPr>
          <w:rFonts w:asciiTheme="minorHAnsi" w:hAnsiTheme="minorHAnsi"/>
          <w:lang w:val="ru-RU"/>
        </w:rPr>
        <w:t xml:space="preserve">анализа </w:t>
      </w:r>
      <w:r w:rsidR="001105C0">
        <w:rPr>
          <w:rFonts w:asciiTheme="minorHAnsi" w:hAnsiTheme="minorHAnsi"/>
          <w:lang w:val="ru-RU"/>
        </w:rPr>
        <w:t xml:space="preserve">специфических </w:t>
      </w:r>
      <w:r w:rsidRPr="00F8199B">
        <w:rPr>
          <w:rFonts w:asciiTheme="minorHAnsi" w:hAnsiTheme="minorHAnsi"/>
          <w:bCs/>
          <w:color w:val="000000"/>
          <w:lang w:val="ru-RU"/>
        </w:rPr>
        <w:t xml:space="preserve">кейсов гражданской </w:t>
      </w:r>
      <w:r w:rsidR="001105C0">
        <w:rPr>
          <w:rFonts w:asciiTheme="minorHAnsi" w:hAnsiTheme="minorHAnsi"/>
          <w:bCs/>
          <w:color w:val="000000"/>
          <w:lang w:val="ru-RU"/>
        </w:rPr>
        <w:t>республиках</w:t>
      </w:r>
      <w:r w:rsidRPr="00F8199B">
        <w:rPr>
          <w:rFonts w:asciiTheme="minorHAnsi" w:hAnsiTheme="minorHAnsi"/>
          <w:bCs/>
          <w:color w:val="000000"/>
          <w:lang w:val="ru-RU"/>
        </w:rPr>
        <w:t>.</w:t>
      </w:r>
      <w:r w:rsidR="00BF5ABF" w:rsidRPr="00F8199B">
        <w:rPr>
          <w:rFonts w:asciiTheme="minorHAnsi" w:hAnsiTheme="minorHAnsi"/>
          <w:bCs/>
          <w:color w:val="000000"/>
          <w:lang w:val="ru-RU"/>
        </w:rPr>
        <w:t xml:space="preserve"> </w:t>
      </w:r>
    </w:p>
    <w:p w:rsidR="007F299F" w:rsidRDefault="001D0EF8" w:rsidP="001A1A03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Cs/>
          <w:color w:val="000000"/>
          <w:lang w:val="ru-RU"/>
        </w:rPr>
        <w:t>Обобщая качественные данные, можно заключить, что с</w:t>
      </w:r>
      <w:r w:rsidR="00BF5ABF" w:rsidRPr="00F8199B">
        <w:rPr>
          <w:rFonts w:asciiTheme="minorHAnsi" w:hAnsiTheme="minorHAnsi"/>
          <w:bCs/>
          <w:color w:val="000000"/>
          <w:lang w:val="ru-RU"/>
        </w:rPr>
        <w:t xml:space="preserve">уществующие в республиках тенденции </w:t>
      </w:r>
      <w:r w:rsidR="002E3157" w:rsidRPr="00F8199B">
        <w:rPr>
          <w:rFonts w:asciiTheme="minorHAnsi" w:hAnsiTheme="minorHAnsi"/>
          <w:bCs/>
          <w:color w:val="000000"/>
          <w:lang w:val="ru-RU"/>
        </w:rPr>
        <w:t xml:space="preserve">в значительной степени </w:t>
      </w:r>
      <w:r w:rsidR="00BF5ABF" w:rsidRPr="00F8199B">
        <w:rPr>
          <w:rFonts w:asciiTheme="minorHAnsi" w:hAnsiTheme="minorHAnsi"/>
          <w:bCs/>
          <w:color w:val="000000"/>
          <w:lang w:val="ru-RU"/>
        </w:rPr>
        <w:t xml:space="preserve">связаны с </w:t>
      </w:r>
      <w:r w:rsidR="00E20149">
        <w:rPr>
          <w:rFonts w:asciiTheme="minorHAnsi" w:hAnsiTheme="minorHAnsi"/>
          <w:bCs/>
          <w:color w:val="000000"/>
          <w:lang w:val="ru-RU"/>
        </w:rPr>
        <w:t xml:space="preserve">институциональным </w:t>
      </w:r>
      <w:r w:rsidR="00BF5ABF" w:rsidRPr="00F8199B">
        <w:rPr>
          <w:rFonts w:asciiTheme="minorHAnsi" w:hAnsiTheme="minorHAnsi"/>
          <w:bCs/>
          <w:color w:val="000000"/>
          <w:lang w:val="ru-RU"/>
        </w:rPr>
        <w:t xml:space="preserve">наследием </w:t>
      </w:r>
      <w:r w:rsidR="002E3157" w:rsidRPr="00F8199B">
        <w:rPr>
          <w:rFonts w:asciiTheme="minorHAnsi" w:hAnsiTheme="minorHAnsi"/>
          <w:bCs/>
          <w:color w:val="000000"/>
          <w:lang w:val="ru-RU"/>
        </w:rPr>
        <w:t xml:space="preserve">советской </w:t>
      </w:r>
      <w:r w:rsidR="00BF5ABF" w:rsidRPr="00F8199B">
        <w:rPr>
          <w:rFonts w:asciiTheme="minorHAnsi" w:hAnsiTheme="minorHAnsi"/>
          <w:bCs/>
          <w:color w:val="000000"/>
          <w:lang w:val="ru-RU"/>
        </w:rPr>
        <w:t xml:space="preserve">национальной политики. </w:t>
      </w:r>
      <w:r w:rsidR="00C914D9" w:rsidRPr="00F8199B">
        <w:rPr>
          <w:rFonts w:asciiTheme="minorHAnsi" w:hAnsiTheme="minorHAnsi"/>
          <w:lang w:val="ru-RU"/>
        </w:rPr>
        <w:t xml:space="preserve">Возвращаясь к вопросу об национально-административном устройстве республик, </w:t>
      </w:r>
      <w:r w:rsidR="00C914D9" w:rsidRPr="00F8199B">
        <w:rPr>
          <w:rFonts w:asciiTheme="minorHAnsi" w:hAnsiTheme="minorHAnsi"/>
          <w:lang w:val="ru-RU"/>
        </w:rPr>
        <w:lastRenderedPageBreak/>
        <w:t xml:space="preserve">необходимо отметить, что </w:t>
      </w:r>
      <w:r w:rsidR="00B938C5" w:rsidRPr="00F8199B">
        <w:rPr>
          <w:rFonts w:asciiTheme="minorHAnsi" w:hAnsiTheme="minorHAnsi"/>
          <w:lang w:val="ru-RU"/>
        </w:rPr>
        <w:t>этническая идентичность</w:t>
      </w:r>
      <w:r w:rsidR="00C914D9" w:rsidRPr="00F8199B">
        <w:rPr>
          <w:rFonts w:asciiTheme="minorHAnsi" w:hAnsiTheme="minorHAnsi"/>
          <w:lang w:val="ru-RU"/>
        </w:rPr>
        <w:t xml:space="preserve"> продолжает оставаться одним из ключевых факторов </w:t>
      </w:r>
      <w:r w:rsidR="00164BA1" w:rsidRPr="00F8199B">
        <w:rPr>
          <w:rFonts w:asciiTheme="minorHAnsi" w:hAnsiTheme="minorHAnsi"/>
          <w:lang w:val="ru-RU"/>
        </w:rPr>
        <w:t>формирующих региональные общественно-политические тренды. Роль этничности претерпела множество преобразований связанных с процессом федерализации Росси</w:t>
      </w:r>
      <w:r w:rsidR="00B938C5" w:rsidRPr="00F8199B">
        <w:rPr>
          <w:rFonts w:asciiTheme="minorHAnsi" w:hAnsiTheme="minorHAnsi"/>
          <w:lang w:val="ru-RU"/>
        </w:rPr>
        <w:t xml:space="preserve">и </w:t>
      </w:r>
      <w:r w:rsidR="00164BA1" w:rsidRPr="00F8199B">
        <w:rPr>
          <w:rFonts w:asciiTheme="minorHAnsi" w:hAnsiTheme="minorHAnsi"/>
          <w:lang w:val="ru-RU"/>
        </w:rPr>
        <w:t>1990-х годов</w:t>
      </w:r>
      <w:r w:rsidR="00B938C5" w:rsidRPr="00F8199B">
        <w:rPr>
          <w:rFonts w:asciiTheme="minorHAnsi" w:hAnsiTheme="minorHAnsi"/>
          <w:lang w:val="ru-RU"/>
        </w:rPr>
        <w:t xml:space="preserve">. Вместе с тем, национально-административное устройство республик, </w:t>
      </w:r>
      <w:r w:rsidR="007F2E5D" w:rsidRPr="00F8199B">
        <w:rPr>
          <w:rFonts w:asciiTheme="minorHAnsi" w:hAnsiTheme="minorHAnsi"/>
          <w:lang w:val="ru-RU"/>
        </w:rPr>
        <w:t>созданное</w:t>
      </w:r>
      <w:r w:rsidR="00B938C5" w:rsidRPr="00F8199B">
        <w:rPr>
          <w:rFonts w:asciiTheme="minorHAnsi" w:hAnsiTheme="minorHAnsi"/>
          <w:lang w:val="ru-RU"/>
        </w:rPr>
        <w:t xml:space="preserve"> советским </w:t>
      </w:r>
      <w:r w:rsidR="007F2E5D" w:rsidRPr="00F8199B">
        <w:rPr>
          <w:rFonts w:asciiTheme="minorHAnsi" w:hAnsiTheme="minorHAnsi"/>
          <w:lang w:val="ru-RU"/>
        </w:rPr>
        <w:t>государством, наряду с формальными институтами и маркерами государственной автономии республик, по сей день обеспечивают воспроизводство территориальную и политическую идентичности для жителей</w:t>
      </w:r>
      <w:r w:rsidR="00A46DAD" w:rsidRPr="00F8199B">
        <w:rPr>
          <w:rFonts w:asciiTheme="minorHAnsi" w:hAnsiTheme="minorHAnsi"/>
          <w:lang w:val="ru-RU"/>
        </w:rPr>
        <w:t xml:space="preserve"> региона. </w:t>
      </w:r>
    </w:p>
    <w:p w:rsidR="00C914D9" w:rsidRPr="00F8199B" w:rsidRDefault="007F299F" w:rsidP="001A1A03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Указанный </w:t>
      </w:r>
      <w:r w:rsidR="00A46DAD" w:rsidRPr="00F8199B">
        <w:rPr>
          <w:rFonts w:asciiTheme="minorHAnsi" w:hAnsiTheme="minorHAnsi"/>
          <w:lang w:val="ru-RU"/>
        </w:rPr>
        <w:t xml:space="preserve">фактор находит свое выражение в процессах и явлениях специфических, но имеющих в обеих республиках отношение к этничности. Эти </w:t>
      </w:r>
      <w:r w:rsidR="00887B77" w:rsidRPr="00F8199B">
        <w:rPr>
          <w:rFonts w:asciiTheme="minorHAnsi" w:hAnsiTheme="minorHAnsi"/>
          <w:lang w:val="ru-RU"/>
        </w:rPr>
        <w:t xml:space="preserve">процессы являются ключевыми пунктами актуальных повесток местных национальных общественных организаций что, в свою очередь, оказывает влияние на уровень доверия к ним </w:t>
      </w:r>
      <w:r w:rsidR="009654D9" w:rsidRPr="00F8199B">
        <w:rPr>
          <w:rFonts w:asciiTheme="minorHAnsi" w:hAnsiTheme="minorHAnsi"/>
          <w:lang w:val="ru-RU"/>
        </w:rPr>
        <w:t>со стороны населения, а в их лице, к институтам гражданского общества как к таковым</w:t>
      </w:r>
      <w:r w:rsidR="00887B77" w:rsidRPr="00F8199B">
        <w:rPr>
          <w:rFonts w:asciiTheme="minorHAnsi" w:hAnsiTheme="minorHAnsi"/>
          <w:lang w:val="ru-RU"/>
        </w:rPr>
        <w:t xml:space="preserve">. </w:t>
      </w:r>
      <w:proofErr w:type="gramStart"/>
      <w:r w:rsidR="009654D9" w:rsidRPr="00F8199B">
        <w:rPr>
          <w:rFonts w:asciiTheme="minorHAnsi" w:hAnsiTheme="minorHAnsi"/>
          <w:lang w:val="ru-RU"/>
        </w:rPr>
        <w:t>В частности можно выделить следующие три взаимосвязанных и часто пересекающихся вопроса</w:t>
      </w:r>
      <w:r w:rsidR="00ED4438" w:rsidRPr="00F8199B">
        <w:rPr>
          <w:rFonts w:asciiTheme="minorHAnsi" w:hAnsiTheme="minorHAnsi"/>
          <w:lang w:val="ru-RU"/>
        </w:rPr>
        <w:t>: 1) распределение этнических квот на замещение государственных должностей; 2) распределение власти среди правящих элит, выражающ</w:t>
      </w:r>
      <w:r w:rsidR="0063100B" w:rsidRPr="00F8199B">
        <w:rPr>
          <w:rFonts w:asciiTheme="minorHAnsi" w:hAnsiTheme="minorHAnsi"/>
          <w:lang w:val="ru-RU"/>
        </w:rPr>
        <w:t>ее</w:t>
      </w:r>
      <w:r w:rsidR="00ED4438" w:rsidRPr="00F8199B">
        <w:rPr>
          <w:rFonts w:asciiTheme="minorHAnsi" w:hAnsiTheme="minorHAnsi"/>
          <w:lang w:val="ru-RU"/>
        </w:rPr>
        <w:t xml:space="preserve">ся в большей или меньшей степени централизации власти </w:t>
      </w:r>
      <w:r w:rsidR="0063100B" w:rsidRPr="00F8199B">
        <w:rPr>
          <w:rFonts w:asciiTheme="minorHAnsi" w:hAnsiTheme="minorHAnsi"/>
          <w:lang w:val="ru-RU"/>
        </w:rPr>
        <w:t xml:space="preserve">на республиканском уровне </w:t>
      </w:r>
      <w:r w:rsidR="00ED4438" w:rsidRPr="00F8199B">
        <w:rPr>
          <w:rFonts w:asciiTheme="minorHAnsi" w:hAnsiTheme="minorHAnsi"/>
          <w:lang w:val="ru-RU"/>
        </w:rPr>
        <w:t xml:space="preserve">и способности </w:t>
      </w:r>
      <w:r w:rsidR="0063100B" w:rsidRPr="00F8199B">
        <w:rPr>
          <w:rFonts w:asciiTheme="minorHAnsi" w:hAnsiTheme="minorHAnsi"/>
          <w:lang w:val="ru-RU"/>
        </w:rPr>
        <w:t>контролировать власть и ресурсы на уровне местных сообществ; 3) оспариваемые территориально-административные границы</w:t>
      </w:r>
      <w:r w:rsidR="006674FC" w:rsidRPr="00F8199B">
        <w:rPr>
          <w:rFonts w:asciiTheme="minorHAnsi" w:hAnsiTheme="minorHAnsi"/>
          <w:lang w:val="ru-RU"/>
        </w:rPr>
        <w:t xml:space="preserve"> этнических районов и отдельных поселений внутри республик.</w:t>
      </w:r>
      <w:proofErr w:type="gramEnd"/>
      <w:r w:rsidR="006674FC" w:rsidRPr="00F8199B">
        <w:rPr>
          <w:rFonts w:asciiTheme="minorHAnsi" w:hAnsiTheme="minorHAnsi"/>
          <w:lang w:val="ru-RU"/>
        </w:rPr>
        <w:t xml:space="preserve"> Последнее в КБР </w:t>
      </w:r>
      <w:r w:rsidR="00B867CC" w:rsidRPr="00F8199B">
        <w:rPr>
          <w:rFonts w:asciiTheme="minorHAnsi" w:hAnsiTheme="minorHAnsi"/>
          <w:lang w:val="ru-RU"/>
        </w:rPr>
        <w:t>дополняется</w:t>
      </w:r>
      <w:r w:rsidR="006674FC" w:rsidRPr="00F8199B">
        <w:rPr>
          <w:rFonts w:asciiTheme="minorHAnsi" w:hAnsiTheme="minorHAnsi"/>
          <w:lang w:val="ru-RU"/>
        </w:rPr>
        <w:t xml:space="preserve"> противоречивыми </w:t>
      </w:r>
      <w:r w:rsidR="00B867CC" w:rsidRPr="00F8199B">
        <w:rPr>
          <w:rFonts w:asciiTheme="minorHAnsi" w:hAnsiTheme="minorHAnsi"/>
          <w:lang w:val="ru-RU"/>
        </w:rPr>
        <w:t>земельными и административными реформами, вызывающими обострение конфликтов за ресурсы на локальном уровне</w:t>
      </w:r>
      <w:r w:rsidR="00B867CC" w:rsidRPr="00F8199B">
        <w:rPr>
          <w:rStyle w:val="a5"/>
          <w:rFonts w:asciiTheme="minorHAnsi" w:hAnsiTheme="minorHAnsi"/>
          <w:lang w:val="ru-RU"/>
        </w:rPr>
        <w:footnoteReference w:id="11"/>
      </w:r>
      <w:r w:rsidR="00B867CC" w:rsidRPr="00F8199B">
        <w:rPr>
          <w:rFonts w:asciiTheme="minorHAnsi" w:hAnsiTheme="minorHAnsi"/>
          <w:lang w:val="ru-RU"/>
        </w:rPr>
        <w:t xml:space="preserve">. </w:t>
      </w:r>
    </w:p>
    <w:p w:rsidR="0012536C" w:rsidRPr="00F8199B" w:rsidRDefault="00E11F64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lang w:val="ru-RU"/>
        </w:rPr>
      </w:pPr>
      <w:r w:rsidRPr="00F8199B">
        <w:rPr>
          <w:rFonts w:asciiTheme="minorHAnsi" w:hAnsiTheme="minorHAnsi"/>
          <w:lang w:val="ru-RU"/>
        </w:rPr>
        <w:t xml:space="preserve">Советская неофициальная традиция </w:t>
      </w:r>
      <w:r w:rsidRPr="00F8199B">
        <w:rPr>
          <w:rFonts w:asciiTheme="minorHAnsi" w:hAnsiTheme="minorHAnsi"/>
          <w:i/>
          <w:lang w:val="ru-RU"/>
        </w:rPr>
        <w:t>этнического квотирования</w:t>
      </w:r>
      <w:r w:rsidRPr="00F8199B">
        <w:rPr>
          <w:rFonts w:asciiTheme="minorHAnsi" w:hAnsiTheme="minorHAnsi"/>
          <w:lang w:val="ru-RU"/>
        </w:rPr>
        <w:t xml:space="preserve"> в органах власти</w:t>
      </w:r>
      <w:r w:rsidR="00C81647" w:rsidRPr="00F8199B">
        <w:rPr>
          <w:rFonts w:asciiTheme="minorHAnsi" w:hAnsiTheme="minorHAnsi"/>
          <w:lang w:val="ru-RU"/>
        </w:rPr>
        <w:t>,</w:t>
      </w:r>
      <w:r w:rsidRPr="00F8199B">
        <w:rPr>
          <w:rFonts w:asciiTheme="minorHAnsi" w:hAnsiTheme="minorHAnsi"/>
          <w:lang w:val="ru-RU"/>
        </w:rPr>
        <w:t xml:space="preserve"> даже в ее современном формалистском технократическом стиле, по сей считается день одним ключевых факторов </w:t>
      </w:r>
      <w:r w:rsidR="00292DBF" w:rsidRPr="00F8199B">
        <w:rPr>
          <w:rFonts w:asciiTheme="minorHAnsi" w:hAnsiTheme="minorHAnsi"/>
          <w:lang w:val="ru-RU"/>
        </w:rPr>
        <w:t xml:space="preserve">стабильности. Республиканские власти </w:t>
      </w:r>
      <w:r w:rsidR="00D621F8" w:rsidRPr="00F8199B">
        <w:rPr>
          <w:rFonts w:asciiTheme="minorHAnsi" w:hAnsiTheme="minorHAnsi"/>
          <w:lang w:val="ru-RU"/>
        </w:rPr>
        <w:t>традиционно</w:t>
      </w:r>
      <w:r w:rsidR="00292DBF" w:rsidRPr="00F8199B">
        <w:rPr>
          <w:rFonts w:asciiTheme="minorHAnsi" w:hAnsiTheme="minorHAnsi"/>
          <w:lang w:val="ru-RU"/>
        </w:rPr>
        <w:t xml:space="preserve"> строго следуют этим </w:t>
      </w:r>
      <w:r w:rsidR="00FE0B6C" w:rsidRPr="00F8199B">
        <w:rPr>
          <w:rFonts w:asciiTheme="minorHAnsi" w:hAnsiTheme="minorHAnsi"/>
          <w:lang w:val="ru-RU"/>
        </w:rPr>
        <w:t xml:space="preserve">правилам, </w:t>
      </w:r>
      <w:r w:rsidR="00D621F8" w:rsidRPr="00F8199B">
        <w:rPr>
          <w:rFonts w:asciiTheme="minorHAnsi" w:hAnsiTheme="minorHAnsi"/>
          <w:lang w:val="ru-RU"/>
        </w:rPr>
        <w:t>что</w:t>
      </w:r>
      <w:r w:rsidR="00FE0B6C" w:rsidRPr="00F8199B">
        <w:rPr>
          <w:rFonts w:asciiTheme="minorHAnsi" w:hAnsiTheme="minorHAnsi"/>
          <w:lang w:val="ru-RU"/>
        </w:rPr>
        <w:t>, вместе с тем,</w:t>
      </w:r>
      <w:r w:rsidR="00292DBF" w:rsidRPr="00F8199B">
        <w:rPr>
          <w:rFonts w:asciiTheme="minorHAnsi" w:hAnsiTheme="minorHAnsi"/>
          <w:lang w:val="ru-RU"/>
        </w:rPr>
        <w:t xml:space="preserve"> не ограничивает </w:t>
      </w:r>
      <w:r w:rsidR="005F32C0" w:rsidRPr="00F8199B">
        <w:rPr>
          <w:rFonts w:asciiTheme="minorHAnsi" w:hAnsiTheme="minorHAnsi"/>
          <w:lang w:val="ru-RU"/>
        </w:rPr>
        <w:t xml:space="preserve">возможности </w:t>
      </w:r>
      <w:r w:rsidR="004F6177" w:rsidRPr="00F8199B">
        <w:rPr>
          <w:rFonts w:asciiTheme="minorHAnsi" w:hAnsiTheme="minorHAnsi"/>
          <w:lang w:val="ru-RU"/>
        </w:rPr>
        <w:t xml:space="preserve">контроля </w:t>
      </w:r>
      <w:r w:rsidR="00292DBF" w:rsidRPr="00F8199B">
        <w:rPr>
          <w:rFonts w:asciiTheme="minorHAnsi" w:hAnsiTheme="minorHAnsi"/>
          <w:lang w:val="ru-RU"/>
        </w:rPr>
        <w:t xml:space="preserve">существующих </w:t>
      </w:r>
      <w:r w:rsidR="004F6177" w:rsidRPr="00F8199B">
        <w:rPr>
          <w:rFonts w:asciiTheme="minorHAnsi" w:hAnsiTheme="minorHAnsi"/>
          <w:lang w:val="ru-RU"/>
        </w:rPr>
        <w:t>[</w:t>
      </w:r>
      <w:proofErr w:type="spellStart"/>
      <w:r w:rsidR="004F6177" w:rsidRPr="00F8199B">
        <w:rPr>
          <w:rFonts w:asciiTheme="minorHAnsi" w:hAnsiTheme="minorHAnsi"/>
          <w:lang w:val="ru-RU"/>
        </w:rPr>
        <w:t>полинациональных</w:t>
      </w:r>
      <w:proofErr w:type="spellEnd"/>
      <w:r w:rsidR="004F6177" w:rsidRPr="00F8199B">
        <w:rPr>
          <w:rFonts w:asciiTheme="minorHAnsi" w:hAnsiTheme="minorHAnsi"/>
          <w:lang w:val="ru-RU"/>
        </w:rPr>
        <w:t xml:space="preserve">] </w:t>
      </w:r>
      <w:r w:rsidR="00292DBF" w:rsidRPr="00F8199B">
        <w:rPr>
          <w:rFonts w:asciiTheme="minorHAnsi" w:hAnsiTheme="minorHAnsi"/>
          <w:lang w:val="ru-RU"/>
        </w:rPr>
        <w:t>властных элит</w:t>
      </w:r>
      <w:r w:rsidR="005F32C0" w:rsidRPr="00F8199B">
        <w:rPr>
          <w:rFonts w:asciiTheme="minorHAnsi" w:hAnsiTheme="minorHAnsi"/>
          <w:lang w:val="ru-RU"/>
        </w:rPr>
        <w:t xml:space="preserve"> над процессом </w:t>
      </w:r>
      <w:proofErr w:type="spellStart"/>
      <w:r w:rsidR="005F32C0" w:rsidRPr="00F8199B">
        <w:rPr>
          <w:rFonts w:asciiTheme="minorHAnsi" w:hAnsiTheme="minorHAnsi"/>
          <w:lang w:val="ru-RU"/>
        </w:rPr>
        <w:t>элитообразования</w:t>
      </w:r>
      <w:proofErr w:type="spellEnd"/>
      <w:r w:rsidR="005F32C0" w:rsidRPr="00F8199B">
        <w:rPr>
          <w:rFonts w:asciiTheme="minorHAnsi" w:hAnsiTheme="minorHAnsi"/>
          <w:lang w:val="ru-RU"/>
        </w:rPr>
        <w:t>.</w:t>
      </w:r>
      <w:r w:rsidR="004F6177" w:rsidRPr="00F8199B">
        <w:rPr>
          <w:rFonts w:asciiTheme="minorHAnsi" w:hAnsiTheme="minorHAnsi"/>
          <w:lang w:val="ru-RU"/>
        </w:rPr>
        <w:t xml:space="preserve"> </w:t>
      </w:r>
      <w:r w:rsidR="008711A3" w:rsidRPr="00F8199B">
        <w:rPr>
          <w:rFonts w:asciiTheme="minorHAnsi" w:hAnsiTheme="minorHAnsi"/>
          <w:lang w:val="ru-RU"/>
        </w:rPr>
        <w:t xml:space="preserve">Однако </w:t>
      </w:r>
      <w:r w:rsidR="00D621F8" w:rsidRPr="00F8199B">
        <w:rPr>
          <w:rFonts w:asciiTheme="minorHAnsi" w:hAnsiTheme="minorHAnsi"/>
          <w:lang w:val="ru-RU"/>
        </w:rPr>
        <w:t>национальные общественные организации</w:t>
      </w:r>
      <w:r w:rsidR="00BB400F" w:rsidRPr="00F8199B">
        <w:rPr>
          <w:rFonts w:asciiTheme="minorHAnsi" w:hAnsiTheme="minorHAnsi"/>
          <w:lang w:val="ru-RU"/>
        </w:rPr>
        <w:t xml:space="preserve"> и ассоциированные с ними индивидуальные акторы, </w:t>
      </w:r>
      <w:r w:rsidR="00F0052E" w:rsidRPr="00F8199B">
        <w:rPr>
          <w:rFonts w:asciiTheme="minorHAnsi" w:hAnsiTheme="minorHAnsi"/>
          <w:lang w:val="ru-RU"/>
        </w:rPr>
        <w:t>в особенности те, что представляют национальные в республиках меньшинства,</w:t>
      </w:r>
      <w:r w:rsidR="00D621F8" w:rsidRPr="00F8199B">
        <w:rPr>
          <w:rFonts w:asciiTheme="minorHAnsi" w:hAnsiTheme="minorHAnsi"/>
          <w:lang w:val="ru-RU"/>
        </w:rPr>
        <w:t xml:space="preserve"> придают </w:t>
      </w:r>
      <w:r w:rsidR="008711A3" w:rsidRPr="00F8199B">
        <w:rPr>
          <w:rFonts w:asciiTheme="minorHAnsi" w:hAnsiTheme="minorHAnsi"/>
          <w:lang w:val="ru-RU"/>
        </w:rPr>
        <w:t>вопрос</w:t>
      </w:r>
      <w:r w:rsidR="00D621F8" w:rsidRPr="00F8199B">
        <w:rPr>
          <w:rFonts w:asciiTheme="minorHAnsi" w:hAnsiTheme="minorHAnsi"/>
          <w:lang w:val="ru-RU"/>
        </w:rPr>
        <w:t>у</w:t>
      </w:r>
      <w:r w:rsidR="008711A3" w:rsidRPr="00F8199B">
        <w:rPr>
          <w:rFonts w:asciiTheme="minorHAnsi" w:hAnsiTheme="minorHAnsi"/>
          <w:lang w:val="ru-RU"/>
        </w:rPr>
        <w:t xml:space="preserve"> справедливого квотирования </w:t>
      </w:r>
      <w:r w:rsidR="00F0052E" w:rsidRPr="00F8199B">
        <w:rPr>
          <w:rFonts w:asciiTheme="minorHAnsi" w:hAnsiTheme="minorHAnsi"/>
          <w:lang w:val="ru-RU"/>
        </w:rPr>
        <w:t>едва ли не наибольшее значение</w:t>
      </w:r>
      <w:r w:rsidR="00D621F8" w:rsidRPr="00F8199B">
        <w:rPr>
          <w:rFonts w:asciiTheme="minorHAnsi" w:hAnsiTheme="minorHAnsi"/>
          <w:lang w:val="ru-RU"/>
        </w:rPr>
        <w:t>.</w:t>
      </w:r>
      <w:r w:rsidR="00BB400F" w:rsidRPr="00F8199B">
        <w:rPr>
          <w:rFonts w:asciiTheme="minorHAnsi" w:hAnsiTheme="minorHAnsi"/>
          <w:lang w:val="ru-RU"/>
        </w:rPr>
        <w:t xml:space="preserve"> Эти организации внимательнейшим образом отслеживают самые незначительные изменения в этнической структуре назначений на государственные посты и незамедлительно реагируют на существующие, по их мнению, нарушения квот</w:t>
      </w:r>
      <w:r w:rsidR="004A2148" w:rsidRPr="00F8199B">
        <w:rPr>
          <w:rFonts w:asciiTheme="minorHAnsi" w:hAnsiTheme="minorHAnsi"/>
          <w:lang w:val="ru-RU"/>
        </w:rPr>
        <w:t xml:space="preserve"> (</w:t>
      </w:r>
      <w:r w:rsidR="00A737C7" w:rsidRPr="00F8199B">
        <w:rPr>
          <w:rFonts w:asciiTheme="minorHAnsi" w:hAnsiTheme="minorHAnsi"/>
          <w:lang w:val="ru-RU"/>
        </w:rPr>
        <w:t>ссылка</w:t>
      </w:r>
      <w:r w:rsidR="004A2148" w:rsidRPr="00F8199B">
        <w:rPr>
          <w:rFonts w:asciiTheme="minorHAnsi" w:hAnsiTheme="minorHAnsi"/>
          <w:lang w:val="ru-RU"/>
        </w:rPr>
        <w:t xml:space="preserve"> на статью по квотированию). </w:t>
      </w:r>
    </w:p>
    <w:p w:rsidR="004A2148" w:rsidRPr="00F8199B" w:rsidRDefault="00AE0B84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lang w:val="ru-RU"/>
        </w:rPr>
      </w:pPr>
      <w:r w:rsidRPr="00F8199B">
        <w:rPr>
          <w:rFonts w:asciiTheme="minorHAnsi" w:hAnsiTheme="minorHAnsi"/>
          <w:lang w:val="ru-RU"/>
        </w:rPr>
        <w:t>Вопрос этнического квотирования, в свою очередь, тесно связан со степенью централизации власти в республиках.</w:t>
      </w:r>
      <w:r w:rsidR="000A0F76" w:rsidRPr="00F8199B">
        <w:rPr>
          <w:rFonts w:asciiTheme="minorHAnsi" w:hAnsiTheme="minorHAnsi"/>
          <w:lang w:val="ru-RU"/>
        </w:rPr>
        <w:t xml:space="preserve"> Сильная вертикаль власти, которую можно наблюдать в Кабардино-Балкарии, позволяет республиканским властным элитам эффективно распространять свое влияние </w:t>
      </w:r>
      <w:r w:rsidR="00E97A36" w:rsidRPr="00F8199B">
        <w:rPr>
          <w:rFonts w:asciiTheme="minorHAnsi" w:hAnsiTheme="minorHAnsi"/>
          <w:lang w:val="ru-RU"/>
        </w:rPr>
        <w:t xml:space="preserve">до уровня местных поселений, как с точки зрения контроля над формированием локальных управленческих </w:t>
      </w:r>
      <w:r w:rsidR="00FF6923" w:rsidRPr="00F8199B">
        <w:rPr>
          <w:rFonts w:asciiTheme="minorHAnsi" w:hAnsiTheme="minorHAnsi"/>
          <w:lang w:val="ru-RU"/>
        </w:rPr>
        <w:t>структур, так и</w:t>
      </w:r>
      <w:r w:rsidR="00E97A36" w:rsidRPr="00F8199B">
        <w:rPr>
          <w:rFonts w:asciiTheme="minorHAnsi" w:hAnsiTheme="minorHAnsi"/>
          <w:lang w:val="ru-RU"/>
        </w:rPr>
        <w:t xml:space="preserve"> </w:t>
      </w:r>
      <w:r w:rsidR="00FF6923" w:rsidRPr="00F8199B">
        <w:rPr>
          <w:rFonts w:asciiTheme="minorHAnsi" w:hAnsiTheme="minorHAnsi"/>
          <w:lang w:val="ru-RU"/>
        </w:rPr>
        <w:t>над распределением локальных ресурсов.</w:t>
      </w:r>
      <w:r w:rsidR="00A737C7" w:rsidRPr="00F8199B">
        <w:rPr>
          <w:rFonts w:asciiTheme="minorHAnsi" w:hAnsiTheme="minorHAnsi"/>
          <w:lang w:val="ru-RU"/>
        </w:rPr>
        <w:t xml:space="preserve"> Острой конкуренции за власть и ресурсы в среде консолидированной управленской элиты практически не наблюдается. Но периодически возникают ситуации конфликтов за </w:t>
      </w:r>
      <w:r w:rsidR="007F299F">
        <w:rPr>
          <w:rFonts w:asciiTheme="minorHAnsi" w:hAnsiTheme="minorHAnsi"/>
          <w:lang w:val="ru-RU"/>
        </w:rPr>
        <w:t xml:space="preserve">локальные </w:t>
      </w:r>
      <w:r w:rsidR="00A737C7" w:rsidRPr="00F8199B">
        <w:rPr>
          <w:rFonts w:asciiTheme="minorHAnsi" w:hAnsiTheme="minorHAnsi"/>
          <w:lang w:val="ru-RU"/>
        </w:rPr>
        <w:t>ресурсы</w:t>
      </w:r>
      <w:r w:rsidR="00536FBE" w:rsidRPr="00F8199B">
        <w:rPr>
          <w:rFonts w:asciiTheme="minorHAnsi" w:hAnsiTheme="minorHAnsi"/>
          <w:lang w:val="ru-RU"/>
        </w:rPr>
        <w:t xml:space="preserve"> </w:t>
      </w:r>
      <w:r w:rsidR="00A737C7" w:rsidRPr="00F8199B">
        <w:rPr>
          <w:rFonts w:asciiTheme="minorHAnsi" w:hAnsiTheme="minorHAnsi"/>
          <w:lang w:val="ru-RU"/>
        </w:rPr>
        <w:t xml:space="preserve">между республиканскими </w:t>
      </w:r>
      <w:r w:rsidR="00774706" w:rsidRPr="00F8199B">
        <w:rPr>
          <w:rFonts w:asciiTheme="minorHAnsi" w:hAnsiTheme="minorHAnsi"/>
          <w:lang w:val="ru-RU"/>
        </w:rPr>
        <w:t>элитами</w:t>
      </w:r>
      <w:r w:rsidR="00A737C7" w:rsidRPr="00F8199B">
        <w:rPr>
          <w:rFonts w:asciiTheme="minorHAnsi" w:hAnsiTheme="minorHAnsi"/>
          <w:lang w:val="ru-RU"/>
        </w:rPr>
        <w:t xml:space="preserve"> и </w:t>
      </w:r>
      <w:r w:rsidR="00774706" w:rsidRPr="00F8199B">
        <w:rPr>
          <w:rFonts w:asciiTheme="minorHAnsi" w:hAnsiTheme="minorHAnsi"/>
          <w:lang w:val="ru-RU"/>
        </w:rPr>
        <w:t xml:space="preserve">местными гражданскими активистами. Одна из причин тому – нереализованная земельная реформа, что выражается в </w:t>
      </w:r>
      <w:r w:rsidR="00E20022" w:rsidRPr="00F8199B">
        <w:rPr>
          <w:rFonts w:asciiTheme="minorHAnsi" w:hAnsiTheme="minorHAnsi"/>
          <w:lang w:val="ru-RU"/>
        </w:rPr>
        <w:t xml:space="preserve">спорах по вопросам статуса сельскохозяйственных земель, доступа к ним, а также административных границ поселений, расположенных на </w:t>
      </w:r>
      <w:r w:rsidR="00536FBE" w:rsidRPr="00F8199B">
        <w:rPr>
          <w:rFonts w:asciiTheme="minorHAnsi" w:hAnsiTheme="minorHAnsi"/>
          <w:lang w:val="ru-RU"/>
        </w:rPr>
        <w:t xml:space="preserve">стыках </w:t>
      </w:r>
      <w:r w:rsidR="00AA2A5A" w:rsidRPr="00F8199B">
        <w:rPr>
          <w:rFonts w:asciiTheme="minorHAnsi" w:hAnsiTheme="minorHAnsi"/>
          <w:lang w:val="ru-RU"/>
        </w:rPr>
        <w:t xml:space="preserve">традиционных </w:t>
      </w:r>
      <w:r w:rsidR="00E20022" w:rsidRPr="00F8199B">
        <w:rPr>
          <w:rFonts w:asciiTheme="minorHAnsi" w:hAnsiTheme="minorHAnsi"/>
          <w:lang w:val="ru-RU"/>
        </w:rPr>
        <w:t>ареал</w:t>
      </w:r>
      <w:r w:rsidR="00536FBE" w:rsidRPr="00F8199B">
        <w:rPr>
          <w:rFonts w:asciiTheme="minorHAnsi" w:hAnsiTheme="minorHAnsi"/>
          <w:lang w:val="ru-RU"/>
        </w:rPr>
        <w:t>ов</w:t>
      </w:r>
      <w:r w:rsidR="00E20022" w:rsidRPr="00F8199B">
        <w:rPr>
          <w:rFonts w:asciiTheme="minorHAnsi" w:hAnsiTheme="minorHAnsi"/>
          <w:lang w:val="ru-RU"/>
        </w:rPr>
        <w:t xml:space="preserve"> этнического расселени</w:t>
      </w:r>
      <w:r w:rsidR="00536FBE" w:rsidRPr="00F8199B">
        <w:rPr>
          <w:rFonts w:asciiTheme="minorHAnsi" w:hAnsiTheme="minorHAnsi"/>
          <w:lang w:val="ru-RU"/>
        </w:rPr>
        <w:t>я.</w:t>
      </w:r>
      <w:r w:rsidR="00E20022" w:rsidRPr="00F8199B">
        <w:rPr>
          <w:rFonts w:asciiTheme="minorHAnsi" w:hAnsiTheme="minorHAnsi"/>
          <w:lang w:val="ru-RU"/>
        </w:rPr>
        <w:t xml:space="preserve"> </w:t>
      </w:r>
      <w:r w:rsidR="00E7239F" w:rsidRPr="00F8199B">
        <w:rPr>
          <w:rFonts w:asciiTheme="minorHAnsi" w:hAnsiTheme="minorHAnsi"/>
          <w:lang w:val="ru-RU"/>
        </w:rPr>
        <w:t xml:space="preserve">В связи с замороженной земельной реформой местные сообщества ограничены в доступе к сельскохозяйственным землям вблизи поселений и не могут влиять на </w:t>
      </w:r>
      <w:r w:rsidR="005005B0" w:rsidRPr="00F8199B">
        <w:rPr>
          <w:rFonts w:asciiTheme="minorHAnsi" w:hAnsiTheme="minorHAnsi"/>
          <w:lang w:val="ru-RU"/>
        </w:rPr>
        <w:t>решения по их</w:t>
      </w:r>
      <w:r w:rsidR="00E7239F" w:rsidRPr="00F8199B">
        <w:rPr>
          <w:rFonts w:asciiTheme="minorHAnsi" w:hAnsiTheme="minorHAnsi"/>
          <w:lang w:val="ru-RU"/>
        </w:rPr>
        <w:t xml:space="preserve"> распределени</w:t>
      </w:r>
      <w:r w:rsidR="005005B0" w:rsidRPr="00F8199B">
        <w:rPr>
          <w:rFonts w:asciiTheme="minorHAnsi" w:hAnsiTheme="minorHAnsi"/>
          <w:lang w:val="ru-RU"/>
        </w:rPr>
        <w:t>ю</w:t>
      </w:r>
      <w:r w:rsidR="00E7239F" w:rsidRPr="00F8199B">
        <w:rPr>
          <w:rFonts w:asciiTheme="minorHAnsi" w:hAnsiTheme="minorHAnsi"/>
          <w:lang w:val="ru-RU"/>
        </w:rPr>
        <w:t xml:space="preserve">. </w:t>
      </w:r>
      <w:r w:rsidR="005005B0" w:rsidRPr="00F8199B">
        <w:rPr>
          <w:rFonts w:asciiTheme="minorHAnsi" w:hAnsiTheme="minorHAnsi"/>
          <w:lang w:val="ru-RU"/>
        </w:rPr>
        <w:t>Формально р</w:t>
      </w:r>
      <w:r w:rsidR="00E7239F" w:rsidRPr="00F8199B">
        <w:rPr>
          <w:rFonts w:asciiTheme="minorHAnsi" w:hAnsiTheme="minorHAnsi"/>
          <w:lang w:val="ru-RU"/>
        </w:rPr>
        <w:t xml:space="preserve">ешения принимаются на районном муниципальном уровне, </w:t>
      </w:r>
      <w:r w:rsidR="005005B0" w:rsidRPr="00F8199B">
        <w:rPr>
          <w:rFonts w:asciiTheme="minorHAnsi" w:hAnsiTheme="minorHAnsi"/>
          <w:lang w:val="ru-RU"/>
        </w:rPr>
        <w:t>но</w:t>
      </w:r>
      <w:r w:rsidR="00E7239F" w:rsidRPr="00F8199B">
        <w:rPr>
          <w:rFonts w:asciiTheme="minorHAnsi" w:hAnsiTheme="minorHAnsi"/>
          <w:lang w:val="ru-RU"/>
        </w:rPr>
        <w:t xml:space="preserve"> фактически на республиканском</w:t>
      </w:r>
      <w:r w:rsidR="005005B0" w:rsidRPr="00F8199B">
        <w:rPr>
          <w:rFonts w:asciiTheme="minorHAnsi" w:hAnsiTheme="minorHAnsi"/>
          <w:lang w:val="ru-RU"/>
        </w:rPr>
        <w:t xml:space="preserve"> и соответств</w:t>
      </w:r>
      <w:r w:rsidR="00FA07C9" w:rsidRPr="00F8199B">
        <w:rPr>
          <w:rFonts w:asciiTheme="minorHAnsi" w:hAnsiTheme="minorHAnsi"/>
          <w:lang w:val="ru-RU"/>
        </w:rPr>
        <w:t xml:space="preserve">ующих </w:t>
      </w:r>
      <w:r w:rsidR="005005B0" w:rsidRPr="00F8199B">
        <w:rPr>
          <w:rFonts w:asciiTheme="minorHAnsi" w:hAnsiTheme="minorHAnsi"/>
          <w:lang w:val="ru-RU"/>
        </w:rPr>
        <w:t>элит.</w:t>
      </w:r>
      <w:r w:rsidR="00FA07C9" w:rsidRPr="00F8199B">
        <w:rPr>
          <w:rFonts w:asciiTheme="minorHAnsi" w:hAnsiTheme="minorHAnsi"/>
          <w:lang w:val="ru-RU"/>
        </w:rPr>
        <w:t xml:space="preserve"> Эта ситуация осложняется </w:t>
      </w:r>
      <w:r w:rsidR="00FA07C9" w:rsidRPr="00F8199B">
        <w:rPr>
          <w:rFonts w:asciiTheme="minorHAnsi" w:hAnsiTheme="minorHAnsi"/>
          <w:lang w:val="ru-RU"/>
        </w:rPr>
        <w:lastRenderedPageBreak/>
        <w:t xml:space="preserve">административными реформами, призванными оптимизировать муниципальное управление через включение небольших этнически гомогенных поселений в более крупные городские агломерации. </w:t>
      </w:r>
      <w:r w:rsidR="0039357F" w:rsidRPr="00F8199B">
        <w:rPr>
          <w:rFonts w:asciiTheme="minorHAnsi" w:hAnsiTheme="minorHAnsi"/>
          <w:lang w:val="ru-RU"/>
        </w:rPr>
        <w:t xml:space="preserve">Национальные общественные организации принимают участие в ресурсных спорах как между отдельными поселениями, так между республиканским уровнем и </w:t>
      </w:r>
      <w:r w:rsidR="003A6DF0" w:rsidRPr="00F8199B">
        <w:rPr>
          <w:rFonts w:asciiTheme="minorHAnsi" w:hAnsiTheme="minorHAnsi"/>
          <w:lang w:val="ru-RU"/>
        </w:rPr>
        <w:t xml:space="preserve">локальными </w:t>
      </w:r>
      <w:proofErr w:type="spellStart"/>
      <w:r w:rsidR="003A6DF0" w:rsidRPr="00F8199B">
        <w:rPr>
          <w:rFonts w:asciiTheme="minorHAnsi" w:hAnsiTheme="minorHAnsi"/>
          <w:lang w:val="ru-RU"/>
        </w:rPr>
        <w:t>акторами</w:t>
      </w:r>
      <w:proofErr w:type="spellEnd"/>
      <w:r w:rsidR="00BC77A0" w:rsidRPr="00F8199B">
        <w:rPr>
          <w:rFonts w:asciiTheme="minorHAnsi" w:hAnsiTheme="minorHAnsi"/>
          <w:lang w:val="ru-RU"/>
        </w:rPr>
        <w:t xml:space="preserve"> (</w:t>
      </w:r>
      <w:proofErr w:type="spellStart"/>
      <w:r w:rsidR="00BC77A0" w:rsidRPr="00F8199B">
        <w:rPr>
          <w:rFonts w:asciiTheme="minorHAnsi" w:hAnsiTheme="minorHAnsi"/>
          <w:lang w:val="en-US"/>
        </w:rPr>
        <w:t>Tenov</w:t>
      </w:r>
      <w:proofErr w:type="spellEnd"/>
      <w:r w:rsidR="00BC77A0" w:rsidRPr="00F8199B">
        <w:rPr>
          <w:rFonts w:asciiTheme="minorHAnsi" w:hAnsiTheme="minorHAnsi"/>
          <w:lang w:val="ru-RU"/>
        </w:rPr>
        <w:t xml:space="preserve">, </w:t>
      </w:r>
      <w:proofErr w:type="spellStart"/>
      <w:r w:rsidR="00BC77A0" w:rsidRPr="00F8199B">
        <w:rPr>
          <w:rFonts w:asciiTheme="minorHAnsi" w:hAnsiTheme="minorHAnsi"/>
          <w:lang w:val="en-US"/>
        </w:rPr>
        <w:t>Kundetova</w:t>
      </w:r>
      <w:proofErr w:type="spellEnd"/>
      <w:r w:rsidR="00BC77A0" w:rsidRPr="00F8199B">
        <w:rPr>
          <w:rFonts w:asciiTheme="minorHAnsi" w:hAnsiTheme="minorHAnsi"/>
          <w:lang w:val="ru-RU"/>
        </w:rPr>
        <w:t>, 2011)</w:t>
      </w:r>
      <w:r w:rsidR="003A6DF0" w:rsidRPr="00F8199B">
        <w:rPr>
          <w:rFonts w:asciiTheme="minorHAnsi" w:hAnsiTheme="minorHAnsi"/>
          <w:lang w:val="ru-RU"/>
        </w:rPr>
        <w:t xml:space="preserve">. Эти процессы достаточно устойчивы во времени и </w:t>
      </w:r>
      <w:r w:rsidR="0039357F" w:rsidRPr="00F8199B">
        <w:rPr>
          <w:rFonts w:asciiTheme="minorHAnsi" w:hAnsiTheme="minorHAnsi"/>
          <w:lang w:val="ru-RU"/>
        </w:rPr>
        <w:t>явля</w:t>
      </w:r>
      <w:r w:rsidR="003A6DF0" w:rsidRPr="00F8199B">
        <w:rPr>
          <w:rFonts w:asciiTheme="minorHAnsi" w:hAnsiTheme="minorHAnsi"/>
          <w:lang w:val="ru-RU"/>
        </w:rPr>
        <w:t>ю</w:t>
      </w:r>
      <w:r w:rsidR="0039357F" w:rsidRPr="00F8199B">
        <w:rPr>
          <w:rFonts w:asciiTheme="minorHAnsi" w:hAnsiTheme="minorHAnsi"/>
          <w:lang w:val="ru-RU"/>
        </w:rPr>
        <w:t>тся одним</w:t>
      </w:r>
      <w:r w:rsidR="00883BC1" w:rsidRPr="00F8199B">
        <w:rPr>
          <w:rFonts w:asciiTheme="minorHAnsi" w:hAnsiTheme="minorHAnsi"/>
          <w:lang w:val="ru-RU"/>
        </w:rPr>
        <w:t xml:space="preserve"> факторов относительно </w:t>
      </w:r>
      <w:r w:rsidR="003A6DF0" w:rsidRPr="00F8199B">
        <w:rPr>
          <w:rFonts w:asciiTheme="minorHAnsi" w:hAnsiTheme="minorHAnsi"/>
          <w:lang w:val="ru-RU"/>
        </w:rPr>
        <w:t>меньшего</w:t>
      </w:r>
      <w:r w:rsidR="00883BC1" w:rsidRPr="00F8199B">
        <w:rPr>
          <w:rFonts w:asciiTheme="minorHAnsi" w:hAnsiTheme="minorHAnsi"/>
          <w:lang w:val="ru-RU"/>
        </w:rPr>
        <w:t xml:space="preserve"> доверия населения </w:t>
      </w:r>
      <w:r w:rsidR="003A6DF0" w:rsidRPr="00F8199B">
        <w:rPr>
          <w:rFonts w:asciiTheme="minorHAnsi" w:hAnsiTheme="minorHAnsi"/>
          <w:lang w:val="ru-RU"/>
        </w:rPr>
        <w:t xml:space="preserve">к </w:t>
      </w:r>
      <w:r w:rsidR="00883BC1" w:rsidRPr="00F8199B">
        <w:rPr>
          <w:rFonts w:asciiTheme="minorHAnsi" w:hAnsiTheme="minorHAnsi"/>
          <w:lang w:val="ru-RU"/>
        </w:rPr>
        <w:t xml:space="preserve">республиканским властям и соответственно </w:t>
      </w:r>
      <w:r w:rsidR="003A6DF0" w:rsidRPr="00F8199B">
        <w:rPr>
          <w:rFonts w:asciiTheme="minorHAnsi" w:hAnsiTheme="minorHAnsi"/>
          <w:lang w:val="ru-RU"/>
        </w:rPr>
        <w:t>больших</w:t>
      </w:r>
      <w:r w:rsidR="00883BC1" w:rsidRPr="00F8199B">
        <w:rPr>
          <w:rFonts w:asciiTheme="minorHAnsi" w:hAnsiTheme="minorHAnsi"/>
          <w:lang w:val="ru-RU"/>
        </w:rPr>
        <w:t xml:space="preserve"> ожиданий от общественных организаций к КБР в сравнении с К</w:t>
      </w:r>
      <w:r w:rsidR="003A6DF0" w:rsidRPr="00F8199B">
        <w:rPr>
          <w:rFonts w:asciiTheme="minorHAnsi" w:hAnsiTheme="minorHAnsi"/>
          <w:lang w:val="ru-RU"/>
        </w:rPr>
        <w:t>Ч</w:t>
      </w:r>
      <w:r w:rsidR="00883BC1" w:rsidRPr="00F8199B">
        <w:rPr>
          <w:rFonts w:asciiTheme="minorHAnsi" w:hAnsiTheme="minorHAnsi"/>
          <w:lang w:val="ru-RU"/>
        </w:rPr>
        <w:t>Р</w:t>
      </w:r>
      <w:r w:rsidR="004A2148" w:rsidRPr="00F8199B">
        <w:rPr>
          <w:rFonts w:asciiTheme="minorHAnsi" w:hAnsiTheme="minorHAnsi"/>
          <w:lang w:val="ru-RU"/>
        </w:rPr>
        <w:t xml:space="preserve">. </w:t>
      </w:r>
    </w:p>
    <w:p w:rsidR="004A2148" w:rsidRPr="00F8199B" w:rsidRDefault="003A6DF0" w:rsidP="001A1A03">
      <w:pPr>
        <w:shd w:val="clear" w:color="auto" w:fill="FFFFFF"/>
        <w:spacing w:line="23" w:lineRule="atLeast"/>
        <w:jc w:val="both"/>
        <w:rPr>
          <w:rFonts w:asciiTheme="minorHAnsi" w:hAnsiTheme="minorHAnsi"/>
          <w:lang w:val="ru-RU"/>
        </w:rPr>
      </w:pPr>
      <w:r w:rsidRPr="00F8199B">
        <w:rPr>
          <w:rFonts w:asciiTheme="minorHAnsi" w:hAnsiTheme="minorHAnsi"/>
          <w:lang w:val="ru-RU"/>
        </w:rPr>
        <w:t>Карачаево-Черкесия представляет противоположный пример</w:t>
      </w:r>
      <w:r w:rsidR="009843AF" w:rsidRPr="00F8199B">
        <w:rPr>
          <w:rFonts w:asciiTheme="minorHAnsi" w:hAnsiTheme="minorHAnsi"/>
          <w:lang w:val="ru-RU"/>
        </w:rPr>
        <w:t>, где централизация власти относительно меньше выражена и централизованные земельные реформы были успешно имплементированы.</w:t>
      </w:r>
      <w:r w:rsidR="00587BFD" w:rsidRPr="00F8199B">
        <w:rPr>
          <w:rFonts w:asciiTheme="minorHAnsi" w:hAnsiTheme="minorHAnsi"/>
          <w:lang w:val="ru-RU"/>
        </w:rPr>
        <w:t xml:space="preserve"> Конфликты в среде республиканских элит за власть и ресурсы находят свои выражения на разных </w:t>
      </w:r>
      <w:r w:rsidR="00064957" w:rsidRPr="00F8199B">
        <w:rPr>
          <w:rFonts w:asciiTheme="minorHAnsi" w:hAnsiTheme="minorHAnsi"/>
          <w:lang w:val="ru-RU"/>
        </w:rPr>
        <w:t>уровнях</w:t>
      </w:r>
      <w:r w:rsidR="00587BFD" w:rsidRPr="00F8199B">
        <w:rPr>
          <w:rFonts w:asciiTheme="minorHAnsi" w:hAnsiTheme="minorHAnsi"/>
          <w:lang w:val="ru-RU"/>
        </w:rPr>
        <w:t xml:space="preserve">, включая </w:t>
      </w:r>
      <w:proofErr w:type="gramStart"/>
      <w:r w:rsidR="00587BFD" w:rsidRPr="00F8199B">
        <w:rPr>
          <w:rFonts w:asciiTheme="minorHAnsi" w:hAnsiTheme="minorHAnsi"/>
          <w:lang w:val="ru-RU"/>
        </w:rPr>
        <w:t>локальный</w:t>
      </w:r>
      <w:proofErr w:type="gramEnd"/>
      <w:r w:rsidR="00543AE7" w:rsidRPr="00F8199B">
        <w:rPr>
          <w:rFonts w:asciiTheme="minorHAnsi" w:hAnsiTheme="minorHAnsi"/>
          <w:lang w:val="ru-RU"/>
        </w:rPr>
        <w:t>.</w:t>
      </w:r>
      <w:r w:rsidR="00064957" w:rsidRPr="00F8199B">
        <w:rPr>
          <w:rFonts w:asciiTheme="minorHAnsi" w:hAnsiTheme="minorHAnsi"/>
          <w:lang w:val="ru-RU"/>
        </w:rPr>
        <w:t xml:space="preserve"> </w:t>
      </w:r>
      <w:r w:rsidR="00543AE7" w:rsidRPr="00F8199B">
        <w:rPr>
          <w:rFonts w:asciiTheme="minorHAnsi" w:hAnsiTheme="minorHAnsi"/>
          <w:lang w:val="ru-RU"/>
        </w:rPr>
        <w:t>Э</w:t>
      </w:r>
      <w:r w:rsidR="00064957" w:rsidRPr="00F8199B">
        <w:rPr>
          <w:rFonts w:asciiTheme="minorHAnsi" w:hAnsiTheme="minorHAnsi"/>
          <w:lang w:val="ru-RU"/>
        </w:rPr>
        <w:t>тническая идентичность</w:t>
      </w:r>
      <w:r w:rsidR="00543AE7" w:rsidRPr="00F8199B">
        <w:rPr>
          <w:rFonts w:asciiTheme="minorHAnsi" w:hAnsiTheme="minorHAnsi"/>
          <w:lang w:val="ru-RU"/>
        </w:rPr>
        <w:t>, как и национальные общественные организации,</w:t>
      </w:r>
      <w:r w:rsidR="00064957" w:rsidRPr="00F8199B">
        <w:rPr>
          <w:rFonts w:asciiTheme="minorHAnsi" w:hAnsiTheme="minorHAnsi"/>
          <w:lang w:val="ru-RU"/>
        </w:rPr>
        <w:t xml:space="preserve"> также </w:t>
      </w:r>
      <w:r w:rsidR="00543AE7" w:rsidRPr="00F8199B">
        <w:rPr>
          <w:rFonts w:asciiTheme="minorHAnsi" w:hAnsiTheme="minorHAnsi"/>
          <w:lang w:val="ru-RU"/>
        </w:rPr>
        <w:t>вовлечены эти конфликты</w:t>
      </w:r>
      <w:r w:rsidR="00064957" w:rsidRPr="00F8199B">
        <w:rPr>
          <w:rFonts w:asciiTheme="minorHAnsi" w:hAnsiTheme="minorHAnsi"/>
          <w:lang w:val="ru-RU"/>
        </w:rPr>
        <w:t xml:space="preserve">, хотя в несколько других, нежели чем в Кабардино-Балкарии, </w:t>
      </w:r>
      <w:r w:rsidR="00543AE7" w:rsidRPr="00F8199B">
        <w:rPr>
          <w:rFonts w:asciiTheme="minorHAnsi" w:hAnsiTheme="minorHAnsi"/>
          <w:lang w:val="ru-RU"/>
        </w:rPr>
        <w:t xml:space="preserve">формах. </w:t>
      </w:r>
      <w:r w:rsidR="00D07E6E" w:rsidRPr="00F8199B">
        <w:rPr>
          <w:rFonts w:asciiTheme="minorHAnsi" w:hAnsiTheme="minorHAnsi"/>
          <w:lang w:val="ru-RU"/>
        </w:rPr>
        <w:t xml:space="preserve">Мобилизационный ресурс этих организаций активно используется в интересах отдельных влиятельных акторов в обмен на финансовое покровительство. К примеру, черкесские организации обвиняют в том, что </w:t>
      </w:r>
      <w:r w:rsidR="00BB5546" w:rsidRPr="00F8199B">
        <w:rPr>
          <w:rFonts w:asciiTheme="minorHAnsi" w:hAnsiTheme="minorHAnsi"/>
          <w:lang w:val="ru-RU"/>
        </w:rPr>
        <w:t xml:space="preserve">под видом защиты этнических прав, </w:t>
      </w:r>
      <w:r w:rsidR="00D07E6E" w:rsidRPr="00F8199B">
        <w:rPr>
          <w:rFonts w:asciiTheme="minorHAnsi" w:hAnsiTheme="minorHAnsi"/>
          <w:lang w:val="ru-RU"/>
        </w:rPr>
        <w:t>они организов</w:t>
      </w:r>
      <w:r w:rsidR="00BB5546" w:rsidRPr="00F8199B">
        <w:rPr>
          <w:rFonts w:asciiTheme="minorHAnsi" w:hAnsiTheme="minorHAnsi"/>
          <w:lang w:val="ru-RU"/>
        </w:rPr>
        <w:t>ывают</w:t>
      </w:r>
      <w:r w:rsidR="00D07E6E" w:rsidRPr="00F8199B">
        <w:rPr>
          <w:rFonts w:asciiTheme="minorHAnsi" w:hAnsiTheme="minorHAnsi"/>
          <w:lang w:val="ru-RU"/>
        </w:rPr>
        <w:t xml:space="preserve"> акции протеста</w:t>
      </w:r>
      <w:r w:rsidR="00BB5546" w:rsidRPr="00F8199B">
        <w:rPr>
          <w:rFonts w:asciiTheme="minorHAnsi" w:hAnsiTheme="minorHAnsi"/>
          <w:lang w:val="ru-RU"/>
        </w:rPr>
        <w:t xml:space="preserve"> в поддержку какого-либо высокопоставленного чиновника, чьи интересы во власти или бизнесе под угрозой. </w:t>
      </w:r>
      <w:r w:rsidR="001D605C" w:rsidRPr="00F8199B">
        <w:rPr>
          <w:rFonts w:asciiTheme="minorHAnsi" w:hAnsiTheme="minorHAnsi"/>
          <w:lang w:val="ru-RU"/>
        </w:rPr>
        <w:t xml:space="preserve">Таким способом некоторым </w:t>
      </w:r>
      <w:proofErr w:type="spellStart"/>
      <w:r w:rsidR="001D605C" w:rsidRPr="00F8199B">
        <w:rPr>
          <w:rFonts w:asciiTheme="minorHAnsi" w:hAnsiTheme="minorHAnsi"/>
          <w:lang w:val="ru-RU"/>
        </w:rPr>
        <w:t>акторам</w:t>
      </w:r>
      <w:proofErr w:type="spellEnd"/>
      <w:r w:rsidR="001D605C" w:rsidRPr="00F8199B">
        <w:rPr>
          <w:rFonts w:asciiTheme="minorHAnsi" w:hAnsiTheme="minorHAnsi"/>
          <w:lang w:val="ru-RU"/>
        </w:rPr>
        <w:t xml:space="preserve"> удается сохранить статус и ресурсы в происходящих </w:t>
      </w:r>
      <w:r w:rsidR="00952636" w:rsidRPr="00F8199B">
        <w:rPr>
          <w:rFonts w:asciiTheme="minorHAnsi" w:hAnsiTheme="minorHAnsi"/>
          <w:lang w:val="ru-RU"/>
        </w:rPr>
        <w:t xml:space="preserve">между республиканскими элитами </w:t>
      </w:r>
      <w:r w:rsidR="001D605C" w:rsidRPr="00F8199B">
        <w:rPr>
          <w:rFonts w:asciiTheme="minorHAnsi" w:hAnsiTheme="minorHAnsi"/>
          <w:lang w:val="ru-RU"/>
        </w:rPr>
        <w:t>конфликтах</w:t>
      </w:r>
      <w:r w:rsidR="00952636" w:rsidRPr="00F8199B">
        <w:rPr>
          <w:rFonts w:asciiTheme="minorHAnsi" w:hAnsiTheme="minorHAnsi"/>
          <w:lang w:val="ru-RU"/>
        </w:rPr>
        <w:t xml:space="preserve">. Данный фактор в частности влияет на низкий уровень доверия к национальным общественным организациям, деятельность которых ассоциирована с удовлетворением частных интересов. Другим, специфическим для Карачаево-Черкесии аспектом, влияющим на уровень доверия к указанным организациям, является то, что они все еще ассоциированы в глазах местной общественности с </w:t>
      </w:r>
      <w:r w:rsidR="002677BC" w:rsidRPr="00F8199B">
        <w:rPr>
          <w:rFonts w:asciiTheme="minorHAnsi" w:hAnsiTheme="minorHAnsi"/>
          <w:lang w:val="ru-RU"/>
        </w:rPr>
        <w:t xml:space="preserve">периодом кризиса республиканской власти </w:t>
      </w:r>
      <w:r w:rsidR="008B0847" w:rsidRPr="00F8199B">
        <w:rPr>
          <w:rFonts w:asciiTheme="minorHAnsi" w:hAnsiTheme="minorHAnsi"/>
          <w:lang w:val="ru-RU"/>
        </w:rPr>
        <w:t>середины</w:t>
      </w:r>
      <w:r w:rsidR="002677BC" w:rsidRPr="00F8199B">
        <w:rPr>
          <w:rFonts w:asciiTheme="minorHAnsi" w:hAnsiTheme="minorHAnsi"/>
          <w:lang w:val="ru-RU"/>
        </w:rPr>
        <w:t xml:space="preserve"> 2000-х годов, </w:t>
      </w:r>
      <w:r w:rsidR="002922BD" w:rsidRPr="00F8199B">
        <w:rPr>
          <w:rFonts w:asciiTheme="minorHAnsi" w:hAnsiTheme="minorHAnsi"/>
          <w:lang w:val="ru-RU"/>
        </w:rPr>
        <w:t xml:space="preserve">в </w:t>
      </w:r>
      <w:r w:rsidR="008B0847" w:rsidRPr="00F8199B">
        <w:rPr>
          <w:rFonts w:asciiTheme="minorHAnsi" w:hAnsiTheme="minorHAnsi"/>
          <w:lang w:val="ru-RU"/>
        </w:rPr>
        <w:t xml:space="preserve">конфликтах за которую </w:t>
      </w:r>
      <w:r w:rsidR="002677BC" w:rsidRPr="00F8199B">
        <w:rPr>
          <w:rFonts w:asciiTheme="minorHAnsi" w:hAnsiTheme="minorHAnsi"/>
          <w:lang w:val="ru-RU"/>
        </w:rPr>
        <w:t xml:space="preserve">они также были активно </w:t>
      </w:r>
      <w:r w:rsidR="008B0847" w:rsidRPr="00F8199B">
        <w:rPr>
          <w:rFonts w:asciiTheme="minorHAnsi" w:hAnsiTheme="minorHAnsi"/>
          <w:lang w:val="ru-RU"/>
        </w:rPr>
        <w:t xml:space="preserve">вовлечены </w:t>
      </w:r>
      <w:r w:rsidR="004A2148" w:rsidRPr="00F8199B">
        <w:rPr>
          <w:rFonts w:asciiTheme="minorHAnsi" w:hAnsiTheme="minorHAnsi"/>
          <w:lang w:val="ru-RU"/>
        </w:rPr>
        <w:t>(</w:t>
      </w:r>
      <w:proofErr w:type="spellStart"/>
      <w:r w:rsidR="004A2148" w:rsidRPr="00F8199B">
        <w:rPr>
          <w:rFonts w:asciiTheme="minorHAnsi" w:hAnsiTheme="minorHAnsi"/>
          <w:lang w:val="en-US"/>
        </w:rPr>
        <w:t>Grebennikov</w:t>
      </w:r>
      <w:proofErr w:type="spellEnd"/>
      <w:r w:rsidR="004A2148" w:rsidRPr="00F8199B">
        <w:rPr>
          <w:rFonts w:asciiTheme="minorHAnsi" w:hAnsiTheme="minorHAnsi"/>
          <w:lang w:val="ru-RU"/>
        </w:rPr>
        <w:t xml:space="preserve">, 2012). </w:t>
      </w:r>
    </w:p>
    <w:p w:rsidR="003F0895" w:rsidRDefault="003F0895" w:rsidP="00353D38">
      <w:pPr>
        <w:shd w:val="clear" w:color="auto" w:fill="FFFFFF"/>
        <w:spacing w:line="23" w:lineRule="atLeast"/>
        <w:jc w:val="both"/>
        <w:rPr>
          <w:rFonts w:asciiTheme="minorHAnsi" w:hAnsiTheme="minorHAnsi"/>
          <w:lang w:val="ru-RU"/>
        </w:rPr>
      </w:pPr>
    </w:p>
    <w:p w:rsidR="00E10F01" w:rsidRPr="00E10F01" w:rsidRDefault="00E10F01" w:rsidP="00E10F01">
      <w:pPr>
        <w:shd w:val="clear" w:color="auto" w:fill="FFFFFF"/>
        <w:spacing w:line="23" w:lineRule="atLeast"/>
        <w:jc w:val="both"/>
        <w:rPr>
          <w:rFonts w:asciiTheme="minorHAnsi" w:hAnsiTheme="minorHAnsi"/>
          <w:lang w:val="ru-RU"/>
        </w:rPr>
      </w:pPr>
      <w:r w:rsidRPr="00E10F01">
        <w:rPr>
          <w:rFonts w:asciiTheme="minorHAnsi" w:hAnsiTheme="minorHAnsi"/>
          <w:lang w:val="ru-RU"/>
        </w:rPr>
        <w:t xml:space="preserve">Подводя итоги, можно заключить, что в целом выдвинутая гипотеза о существующей в общественных оценках неопределенности в отношении того, что понимать под гражданским участием подтвердилась. Выявлен невысокий уровень доверия к формальным институтам гражданского общества, таким как общественные организации, а также неготовность к широкому формальному гражданскому участию.  </w:t>
      </w:r>
    </w:p>
    <w:p w:rsidR="00E10F01" w:rsidRPr="00E10F01" w:rsidRDefault="00E10F01" w:rsidP="00E10F01">
      <w:pPr>
        <w:shd w:val="clear" w:color="auto" w:fill="FFFFFF"/>
        <w:spacing w:line="23" w:lineRule="atLeast"/>
        <w:jc w:val="both"/>
        <w:rPr>
          <w:rFonts w:asciiTheme="minorHAnsi" w:hAnsiTheme="minorHAnsi"/>
          <w:lang w:val="ru-RU"/>
        </w:rPr>
      </w:pPr>
      <w:r w:rsidRPr="00E10F01">
        <w:rPr>
          <w:rFonts w:asciiTheme="minorHAnsi" w:hAnsiTheme="minorHAnsi"/>
          <w:lang w:val="ru-RU"/>
        </w:rPr>
        <w:t>Определяющим общественное мнение в отношении гражданского общества являются ключевые, на сегодняшний день, акторы в формализованном пространстве гражданских институтов – национальные общественные (в прошлом общественно-политические) движения. Доминирование данного типа организаций в значительной степени связано с наследием советской национальной политики. Советское национально-административное устройство республик с соответствующими маркерами государственной автономии, все еще обеспечивает воспроизводство территориальной и политической идентичностей для их жителей, что</w:t>
      </w:r>
      <w:r w:rsidR="0023669D">
        <w:rPr>
          <w:rFonts w:asciiTheme="minorHAnsi" w:hAnsiTheme="minorHAnsi"/>
          <w:lang w:val="ru-RU"/>
        </w:rPr>
        <w:t xml:space="preserve"> </w:t>
      </w:r>
      <w:r w:rsidRPr="00E10F01">
        <w:rPr>
          <w:rFonts w:asciiTheme="minorHAnsi" w:hAnsiTheme="minorHAnsi"/>
          <w:lang w:val="ru-RU"/>
        </w:rPr>
        <w:t xml:space="preserve">находит выражение в общественно-политических процессах имеющих отношение к этничности. Эти вопросы являются основными пунктами националистических повесток указанных </w:t>
      </w:r>
      <w:r w:rsidR="0023669D" w:rsidRPr="00E10F01">
        <w:rPr>
          <w:rFonts w:asciiTheme="minorHAnsi" w:hAnsiTheme="minorHAnsi"/>
          <w:lang w:val="ru-RU"/>
        </w:rPr>
        <w:t>организаций</w:t>
      </w:r>
      <w:r w:rsidR="0023669D">
        <w:rPr>
          <w:rFonts w:asciiTheme="minorHAnsi" w:hAnsiTheme="minorHAnsi"/>
          <w:lang w:val="ru-RU"/>
        </w:rPr>
        <w:t xml:space="preserve"> и, соответственно,</w:t>
      </w:r>
      <w:r w:rsidRPr="00E10F01">
        <w:rPr>
          <w:rFonts w:asciiTheme="minorHAnsi" w:hAnsiTheme="minorHAnsi"/>
          <w:lang w:val="ru-RU"/>
        </w:rPr>
        <w:t xml:space="preserve"> оказывает влияние на невысокий уровень доверия к ним со стороны населения. Кроме того, большинство из национальных общественных движений все еще в значительной  степени ассоциированы в общественном мнении с политической нестабильностью периода постсоветского государственного строительства. Существующее по отношению к национальным НПО недоверие распространяется, в свою очередь, на институты гражданского общества в целом и восприятие их, как чего-то тесно связанно с политикой и властью. Доля неполитического гражданского сектора в республиках в настоящее время крайне незначительна, чтобы влиять на изменение сложившихся в общественном мнении оценок.</w:t>
      </w:r>
    </w:p>
    <w:p w:rsidR="00E10F01" w:rsidRPr="00E10F01" w:rsidRDefault="00E10F01" w:rsidP="00E10F01">
      <w:pPr>
        <w:shd w:val="clear" w:color="auto" w:fill="FFFFFF"/>
        <w:spacing w:line="23" w:lineRule="atLeast"/>
        <w:jc w:val="both"/>
        <w:rPr>
          <w:rFonts w:asciiTheme="minorHAnsi" w:hAnsiTheme="minorHAnsi"/>
          <w:lang w:val="ru-RU"/>
        </w:rPr>
      </w:pPr>
      <w:r w:rsidRPr="00E10F01">
        <w:rPr>
          <w:rFonts w:asciiTheme="minorHAnsi" w:hAnsiTheme="minorHAnsi"/>
          <w:lang w:val="ru-RU"/>
        </w:rPr>
        <w:t>Однако, несмотря на оппозиционный характер деятельности</w:t>
      </w:r>
      <w:r>
        <w:rPr>
          <w:rFonts w:asciiTheme="minorHAnsi" w:hAnsiTheme="minorHAnsi"/>
          <w:lang w:val="ru-RU"/>
        </w:rPr>
        <w:t xml:space="preserve"> и невысокий уровень доверия со стороны населения</w:t>
      </w:r>
      <w:r w:rsidRPr="00E10F01">
        <w:rPr>
          <w:rFonts w:asciiTheme="minorHAnsi" w:hAnsiTheme="minorHAnsi"/>
          <w:lang w:val="ru-RU"/>
        </w:rPr>
        <w:t xml:space="preserve">, национальные общественные организации все еще занимают свою, весьма </w:t>
      </w:r>
      <w:r w:rsidRPr="00E10F01">
        <w:rPr>
          <w:rFonts w:asciiTheme="minorHAnsi" w:hAnsiTheme="minorHAnsi"/>
          <w:lang w:val="ru-RU"/>
        </w:rPr>
        <w:lastRenderedPageBreak/>
        <w:t xml:space="preserve">специфическую нишу и играют </w:t>
      </w:r>
      <w:r w:rsidR="0023669D">
        <w:rPr>
          <w:rFonts w:asciiTheme="minorHAnsi" w:hAnsiTheme="minorHAnsi"/>
          <w:lang w:val="ru-RU"/>
        </w:rPr>
        <w:t xml:space="preserve">определенную </w:t>
      </w:r>
      <w:r>
        <w:rPr>
          <w:rFonts w:asciiTheme="minorHAnsi" w:hAnsiTheme="minorHAnsi"/>
          <w:lang w:val="ru-RU"/>
        </w:rPr>
        <w:t xml:space="preserve">стабилизирующую </w:t>
      </w:r>
      <w:r w:rsidRPr="00E10F01">
        <w:rPr>
          <w:rFonts w:asciiTheme="minorHAnsi" w:hAnsiTheme="minorHAnsi"/>
          <w:lang w:val="ru-RU"/>
        </w:rPr>
        <w:t>роль.</w:t>
      </w:r>
      <w:r w:rsidR="00C83D16">
        <w:rPr>
          <w:rFonts w:asciiTheme="minorHAnsi" w:hAnsiTheme="minorHAnsi"/>
          <w:lang w:val="ru-RU"/>
        </w:rPr>
        <w:t xml:space="preserve"> В обеих республиках выделяются</w:t>
      </w:r>
      <w:r w:rsidRPr="00E10F01">
        <w:rPr>
          <w:rFonts w:asciiTheme="minorHAnsi" w:hAnsiTheme="minorHAnsi"/>
          <w:lang w:val="ru-RU"/>
        </w:rPr>
        <w:t xml:space="preserve"> три основных и взаимосвязанных вопроса, </w:t>
      </w:r>
      <w:r w:rsidR="00C83D16">
        <w:rPr>
          <w:rFonts w:asciiTheme="minorHAnsi" w:hAnsiTheme="minorHAnsi"/>
          <w:lang w:val="ru-RU"/>
        </w:rPr>
        <w:t>за исполнением</w:t>
      </w:r>
      <w:r w:rsidRPr="00E10F01">
        <w:rPr>
          <w:rFonts w:asciiTheme="minorHAnsi" w:hAnsiTheme="minorHAnsi"/>
          <w:lang w:val="ru-RU"/>
        </w:rPr>
        <w:t xml:space="preserve"> которых </w:t>
      </w:r>
      <w:r w:rsidR="00C83D16">
        <w:rPr>
          <w:rFonts w:asciiTheme="minorHAnsi" w:hAnsiTheme="minorHAnsi"/>
          <w:lang w:val="ru-RU"/>
        </w:rPr>
        <w:t>не только традиционно наблюдают, но и часто активно участвуют</w:t>
      </w:r>
      <w:r w:rsidR="00C83D16" w:rsidRPr="00E10F01">
        <w:rPr>
          <w:rFonts w:asciiTheme="minorHAnsi" w:hAnsiTheme="minorHAnsi"/>
          <w:lang w:val="ru-RU"/>
        </w:rPr>
        <w:t xml:space="preserve"> </w:t>
      </w:r>
      <w:r w:rsidRPr="00E10F01">
        <w:rPr>
          <w:rFonts w:asciiTheme="minorHAnsi" w:hAnsiTheme="minorHAnsi"/>
          <w:lang w:val="ru-RU"/>
        </w:rPr>
        <w:t xml:space="preserve">национальные НПО: 1) распределение этнических квот на замещение государственных должностей; 2) распределение власти среди </w:t>
      </w:r>
      <w:r w:rsidR="00C82DEF" w:rsidRPr="00C82DEF">
        <w:rPr>
          <w:rFonts w:asciiTheme="minorHAnsi" w:hAnsiTheme="minorHAnsi"/>
          <w:lang w:val="ru-RU"/>
        </w:rPr>
        <w:t>[</w:t>
      </w:r>
      <w:r w:rsidR="00C82DEF">
        <w:rPr>
          <w:rFonts w:asciiTheme="minorHAnsi" w:hAnsiTheme="minorHAnsi"/>
          <w:lang w:val="ru-RU"/>
        </w:rPr>
        <w:t>национальных</w:t>
      </w:r>
      <w:r w:rsidR="00C82DEF" w:rsidRPr="00C82DEF">
        <w:rPr>
          <w:rFonts w:asciiTheme="minorHAnsi" w:hAnsiTheme="minorHAnsi"/>
          <w:lang w:val="ru-RU"/>
        </w:rPr>
        <w:t xml:space="preserve">] </w:t>
      </w:r>
      <w:r w:rsidRPr="00E10F01">
        <w:rPr>
          <w:rFonts w:asciiTheme="minorHAnsi" w:hAnsiTheme="minorHAnsi"/>
          <w:lang w:val="ru-RU"/>
        </w:rPr>
        <w:t xml:space="preserve">правящих элит; 3) оспариваемые территориально-административные границы этнических районов и отдельных поселений. Кроме того, локальные сообщества на уровне поселений используют ресурс организаций как способ обойти информационные фильтры на </w:t>
      </w:r>
      <w:r w:rsidR="00C82DEF">
        <w:rPr>
          <w:rFonts w:asciiTheme="minorHAnsi" w:hAnsiTheme="minorHAnsi"/>
          <w:lang w:val="ru-RU"/>
        </w:rPr>
        <w:t xml:space="preserve">пути к </w:t>
      </w:r>
      <w:r w:rsidRPr="00E10F01">
        <w:rPr>
          <w:rFonts w:asciiTheme="minorHAnsi" w:hAnsiTheme="minorHAnsi"/>
          <w:lang w:val="ru-RU"/>
        </w:rPr>
        <w:t xml:space="preserve">органам власти более высокого уровня, как для решения насущных проблем, так в ходе конфликтов с местными властными элитами. В свою очередь, государство (республиканские органы власти) обращается за помощью к общественным организациям для легитимации в общественном мнении противоречивых решений. При этом, вне зависимости от характера решаемых вопросов, </w:t>
      </w:r>
      <w:r w:rsidR="0023669D">
        <w:rPr>
          <w:rFonts w:asciiTheme="minorHAnsi" w:hAnsiTheme="minorHAnsi"/>
          <w:lang w:val="ru-RU"/>
        </w:rPr>
        <w:t xml:space="preserve">национальные </w:t>
      </w:r>
      <w:r w:rsidRPr="00E10F01">
        <w:rPr>
          <w:rFonts w:asciiTheme="minorHAnsi" w:hAnsiTheme="minorHAnsi"/>
          <w:lang w:val="ru-RU"/>
        </w:rPr>
        <w:t xml:space="preserve">организации вступают как в публичные формализованные союзы, так и скрытее от широкой общественности договоренности с другими </w:t>
      </w:r>
      <w:proofErr w:type="spellStart"/>
      <w:r w:rsidRPr="00E10F01">
        <w:rPr>
          <w:rFonts w:asciiTheme="minorHAnsi" w:hAnsiTheme="minorHAnsi"/>
          <w:lang w:val="ru-RU"/>
        </w:rPr>
        <w:t>акторами</w:t>
      </w:r>
      <w:proofErr w:type="spellEnd"/>
      <w:r w:rsidRPr="00E10F01">
        <w:rPr>
          <w:rFonts w:asciiTheme="minorHAnsi" w:hAnsiTheme="minorHAnsi"/>
          <w:lang w:val="ru-RU"/>
        </w:rPr>
        <w:t xml:space="preserve">. </w:t>
      </w:r>
      <w:r w:rsidR="0023669D">
        <w:rPr>
          <w:rFonts w:asciiTheme="minorHAnsi" w:hAnsiTheme="minorHAnsi"/>
          <w:lang w:val="ru-RU"/>
        </w:rPr>
        <w:t>П</w:t>
      </w:r>
      <w:r w:rsidRPr="00E10F01">
        <w:rPr>
          <w:rFonts w:asciiTheme="minorHAnsi" w:hAnsiTheme="minorHAnsi"/>
          <w:lang w:val="ru-RU"/>
        </w:rPr>
        <w:t xml:space="preserve">одобные гибридные союзы общественных организаций, государства и местных сообществ </w:t>
      </w:r>
      <w:r w:rsidR="0023669D">
        <w:rPr>
          <w:rFonts w:asciiTheme="minorHAnsi" w:hAnsiTheme="minorHAnsi"/>
          <w:lang w:val="ru-RU"/>
        </w:rPr>
        <w:t>достаточно</w:t>
      </w:r>
      <w:r w:rsidRPr="00E10F01">
        <w:rPr>
          <w:rFonts w:asciiTheme="minorHAnsi" w:hAnsiTheme="minorHAnsi"/>
          <w:lang w:val="ru-RU"/>
        </w:rPr>
        <w:t xml:space="preserve"> помогают разрешать конфликты за власть и ресурсы в процессуальных ненасильственных рамках, тем самым обеспечивая стабильность и предсказуемость общественных отношений на локальном уровне.</w:t>
      </w:r>
    </w:p>
    <w:p w:rsidR="00B4594B" w:rsidRPr="00353D38" w:rsidRDefault="00B4594B" w:rsidP="001A1A03">
      <w:pPr>
        <w:spacing w:line="23" w:lineRule="atLeast"/>
        <w:jc w:val="both"/>
        <w:rPr>
          <w:rFonts w:asciiTheme="minorHAnsi" w:hAnsiTheme="minorHAnsi"/>
          <w:lang w:val="ru-RU"/>
        </w:rPr>
      </w:pPr>
    </w:p>
    <w:p w:rsidR="00B4594B" w:rsidRPr="003F0895" w:rsidRDefault="003F0895" w:rsidP="00BF0D1C">
      <w:pPr>
        <w:pStyle w:val="1"/>
        <w:spacing w:before="0" w:after="200" w:line="23" w:lineRule="atLeast"/>
        <w:ind w:firstLine="0"/>
        <w:rPr>
          <w:rStyle w:val="reference-text"/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color w:val="auto"/>
          <w:sz w:val="22"/>
          <w:szCs w:val="22"/>
        </w:rPr>
        <w:t>Литература</w:t>
      </w:r>
    </w:p>
    <w:p w:rsidR="00B4594B" w:rsidRPr="00F8199B" w:rsidRDefault="00B4594B" w:rsidP="001A1A03">
      <w:pPr>
        <w:spacing w:line="23" w:lineRule="atLeast"/>
        <w:rPr>
          <w:rFonts w:asciiTheme="minorHAnsi" w:hAnsiTheme="minorHAnsi"/>
          <w:highlight w:val="yellow"/>
          <w:lang w:eastAsia="en-US"/>
        </w:rPr>
      </w:pPr>
    </w:p>
    <w:p w:rsidR="009B737B" w:rsidRPr="003E3C3A" w:rsidRDefault="009B737B" w:rsidP="009B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val="ru-RU"/>
        </w:rPr>
      </w:pPr>
      <w:r w:rsidRPr="003E3C3A">
        <w:rPr>
          <w:rFonts w:asciiTheme="minorHAnsi" w:hAnsiTheme="minorHAnsi"/>
          <w:sz w:val="22"/>
          <w:lang w:val="ru-RU"/>
        </w:rPr>
        <w:t xml:space="preserve">Гуня А.Н., Кёлер Я., Цюрхер К. Эмпирические исследования локальных конфликтов. Часть 1. Введение в методологию и методы полевых исследований. – Москва: </w:t>
      </w:r>
      <w:proofErr w:type="spellStart"/>
      <w:r w:rsidRPr="003E3C3A">
        <w:rPr>
          <w:rFonts w:asciiTheme="minorHAnsi" w:hAnsiTheme="minorHAnsi"/>
          <w:sz w:val="22"/>
          <w:lang w:val="ru-RU"/>
        </w:rPr>
        <w:t>Медиа-Пресс</w:t>
      </w:r>
      <w:proofErr w:type="spellEnd"/>
      <w:r w:rsidRPr="003E3C3A">
        <w:rPr>
          <w:rFonts w:asciiTheme="minorHAnsi" w:hAnsiTheme="minorHAnsi"/>
          <w:sz w:val="22"/>
          <w:lang w:val="ru-RU"/>
        </w:rPr>
        <w:t>. – 151 с.</w:t>
      </w:r>
    </w:p>
    <w:p w:rsidR="009B737B" w:rsidRPr="003E3C3A" w:rsidRDefault="009B737B" w:rsidP="009B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lang w:val="ru-RU"/>
        </w:rPr>
      </w:pPr>
      <w:proofErr w:type="spellStart"/>
      <w:r w:rsidRPr="003E3C3A">
        <w:rPr>
          <w:rFonts w:asciiTheme="minorHAnsi" w:hAnsiTheme="minorHAnsi"/>
          <w:sz w:val="22"/>
          <w:lang w:val="ru-RU"/>
        </w:rPr>
        <w:t>Гуня</w:t>
      </w:r>
      <w:proofErr w:type="spellEnd"/>
      <w:r w:rsidRPr="003E3C3A">
        <w:rPr>
          <w:rFonts w:asciiTheme="minorHAnsi" w:hAnsiTheme="minorHAnsi"/>
          <w:sz w:val="22"/>
          <w:lang w:val="ru-RU"/>
        </w:rPr>
        <w:t xml:space="preserve"> А.Н., </w:t>
      </w:r>
      <w:proofErr w:type="spellStart"/>
      <w:r w:rsidRPr="003E3C3A">
        <w:rPr>
          <w:rFonts w:asciiTheme="minorHAnsi" w:hAnsiTheme="minorHAnsi"/>
          <w:sz w:val="22"/>
          <w:lang w:val="ru-RU"/>
        </w:rPr>
        <w:t>Тенов</w:t>
      </w:r>
      <w:proofErr w:type="spellEnd"/>
      <w:r w:rsidRPr="003E3C3A">
        <w:rPr>
          <w:rFonts w:asciiTheme="minorHAnsi" w:hAnsiTheme="minorHAnsi"/>
          <w:sz w:val="22"/>
          <w:lang w:val="ru-RU"/>
        </w:rPr>
        <w:t xml:space="preserve"> Т.З., </w:t>
      </w:r>
      <w:proofErr w:type="spellStart"/>
      <w:r w:rsidRPr="003E3C3A">
        <w:rPr>
          <w:rFonts w:asciiTheme="minorHAnsi" w:hAnsiTheme="minorHAnsi"/>
          <w:sz w:val="22"/>
          <w:lang w:val="ru-RU"/>
        </w:rPr>
        <w:t>Шогенов</w:t>
      </w:r>
      <w:proofErr w:type="spellEnd"/>
      <w:r w:rsidRPr="003E3C3A">
        <w:rPr>
          <w:rFonts w:asciiTheme="minorHAnsi" w:hAnsiTheme="minorHAnsi"/>
          <w:sz w:val="22"/>
          <w:lang w:val="ru-RU"/>
        </w:rPr>
        <w:t xml:space="preserve"> М.З., </w:t>
      </w:r>
      <w:proofErr w:type="gramStart"/>
      <w:r w:rsidRPr="003E3C3A">
        <w:rPr>
          <w:rFonts w:asciiTheme="minorHAnsi" w:hAnsiTheme="minorHAnsi"/>
          <w:sz w:val="22"/>
          <w:lang w:val="ru-RU"/>
        </w:rPr>
        <w:t>Чеченов</w:t>
      </w:r>
      <w:proofErr w:type="gramEnd"/>
      <w:r w:rsidRPr="003E3C3A">
        <w:rPr>
          <w:rFonts w:asciiTheme="minorHAnsi" w:hAnsiTheme="minorHAnsi"/>
          <w:sz w:val="22"/>
          <w:lang w:val="ru-RU"/>
        </w:rPr>
        <w:t xml:space="preserve"> А.М. Влияние различных стратегий управления на характер регулирования конфликтов и развития северокавказских республик // Научная мысль Кавказа. – Ростов-на-Дону., 2015, №3(83). – С. 89-94.</w:t>
      </w:r>
    </w:p>
    <w:p w:rsidR="009B737B" w:rsidRPr="003E3C3A" w:rsidRDefault="009B737B" w:rsidP="009B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lang w:val="ru-RU"/>
        </w:rPr>
      </w:pPr>
      <w:proofErr w:type="spellStart"/>
      <w:r w:rsidRPr="003E3C3A">
        <w:rPr>
          <w:rFonts w:asciiTheme="minorHAnsi" w:hAnsiTheme="minorHAnsi"/>
          <w:sz w:val="22"/>
          <w:lang w:val="ru-RU"/>
        </w:rPr>
        <w:t>Шогенов</w:t>
      </w:r>
      <w:proofErr w:type="spellEnd"/>
      <w:r w:rsidRPr="003E3C3A">
        <w:rPr>
          <w:rFonts w:asciiTheme="minorHAnsi" w:hAnsiTheme="minorHAnsi"/>
          <w:sz w:val="22"/>
          <w:lang w:val="ru-RU"/>
        </w:rPr>
        <w:t xml:space="preserve"> М.З., </w:t>
      </w:r>
      <w:proofErr w:type="spellStart"/>
      <w:r w:rsidRPr="003E3C3A">
        <w:rPr>
          <w:rFonts w:asciiTheme="minorHAnsi" w:hAnsiTheme="minorHAnsi"/>
          <w:sz w:val="22"/>
          <w:lang w:val="ru-RU"/>
        </w:rPr>
        <w:t>Гуня</w:t>
      </w:r>
      <w:proofErr w:type="spellEnd"/>
      <w:r w:rsidRPr="003E3C3A">
        <w:rPr>
          <w:rFonts w:asciiTheme="minorHAnsi" w:hAnsiTheme="minorHAnsi"/>
          <w:sz w:val="22"/>
          <w:lang w:val="ru-RU"/>
        </w:rPr>
        <w:t xml:space="preserve"> А.Н., </w:t>
      </w:r>
      <w:proofErr w:type="spellStart"/>
      <w:r w:rsidRPr="003E3C3A">
        <w:rPr>
          <w:rFonts w:asciiTheme="minorHAnsi" w:hAnsiTheme="minorHAnsi"/>
          <w:sz w:val="22"/>
          <w:lang w:val="ru-RU"/>
        </w:rPr>
        <w:t>Тенов</w:t>
      </w:r>
      <w:proofErr w:type="spellEnd"/>
      <w:r w:rsidRPr="003E3C3A">
        <w:rPr>
          <w:rFonts w:asciiTheme="minorHAnsi" w:hAnsiTheme="minorHAnsi"/>
          <w:sz w:val="22"/>
          <w:lang w:val="ru-RU"/>
        </w:rPr>
        <w:t xml:space="preserve"> Т.З., </w:t>
      </w:r>
      <w:proofErr w:type="gramStart"/>
      <w:r w:rsidRPr="003E3C3A">
        <w:rPr>
          <w:rFonts w:asciiTheme="minorHAnsi" w:hAnsiTheme="minorHAnsi"/>
          <w:sz w:val="22"/>
          <w:lang w:val="ru-RU"/>
        </w:rPr>
        <w:t>Чеченов</w:t>
      </w:r>
      <w:proofErr w:type="gramEnd"/>
      <w:r w:rsidRPr="003E3C3A">
        <w:rPr>
          <w:rFonts w:asciiTheme="minorHAnsi" w:hAnsiTheme="minorHAnsi"/>
          <w:sz w:val="22"/>
          <w:lang w:val="ru-RU"/>
        </w:rPr>
        <w:t xml:space="preserve"> А.М., </w:t>
      </w:r>
      <w:proofErr w:type="spellStart"/>
      <w:r w:rsidRPr="003E3C3A">
        <w:rPr>
          <w:rFonts w:asciiTheme="minorHAnsi" w:hAnsiTheme="minorHAnsi"/>
          <w:sz w:val="22"/>
          <w:lang w:val="ru-RU"/>
        </w:rPr>
        <w:t>Чемаев</w:t>
      </w:r>
      <w:proofErr w:type="spellEnd"/>
      <w:r w:rsidRPr="003E3C3A">
        <w:rPr>
          <w:rFonts w:asciiTheme="minorHAnsi" w:hAnsiTheme="minorHAnsi"/>
          <w:sz w:val="22"/>
          <w:lang w:val="ru-RU"/>
        </w:rPr>
        <w:t xml:space="preserve"> Н.А. Гражданское общество и социальная стабильность на Северном Кавказе: особенности методологического подхода к эмпирическому исследованию // Социально-гуманитарные знания. – М., 2016, №12-2. – С. 63-70.  </w:t>
      </w:r>
    </w:p>
    <w:p w:rsidR="009B737B" w:rsidRPr="003E3C3A" w:rsidRDefault="009B737B" w:rsidP="009B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lang w:val="ru-RU"/>
        </w:rPr>
      </w:pPr>
      <w:proofErr w:type="spellStart"/>
      <w:r w:rsidRPr="003E3C3A">
        <w:rPr>
          <w:rFonts w:asciiTheme="minorHAnsi" w:hAnsiTheme="minorHAnsi"/>
          <w:bCs/>
          <w:sz w:val="22"/>
          <w:szCs w:val="18"/>
          <w:lang w:val="ru-RU"/>
        </w:rPr>
        <w:t>Шогенов</w:t>
      </w:r>
      <w:proofErr w:type="spellEnd"/>
      <w:r w:rsidRPr="003E3C3A">
        <w:rPr>
          <w:rFonts w:asciiTheme="minorHAnsi" w:hAnsiTheme="minorHAnsi"/>
          <w:bCs/>
          <w:sz w:val="22"/>
          <w:szCs w:val="18"/>
          <w:lang w:val="ru-RU"/>
        </w:rPr>
        <w:t xml:space="preserve"> М.З., </w:t>
      </w:r>
      <w:proofErr w:type="spellStart"/>
      <w:r w:rsidRPr="003E3C3A">
        <w:rPr>
          <w:rFonts w:asciiTheme="minorHAnsi" w:hAnsiTheme="minorHAnsi"/>
          <w:bCs/>
          <w:sz w:val="22"/>
          <w:szCs w:val="18"/>
          <w:lang w:val="ru-RU"/>
        </w:rPr>
        <w:t>Мамхегова</w:t>
      </w:r>
      <w:proofErr w:type="spellEnd"/>
      <w:r w:rsidRPr="003E3C3A">
        <w:rPr>
          <w:rFonts w:asciiTheme="minorHAnsi" w:hAnsiTheme="minorHAnsi"/>
          <w:bCs/>
          <w:sz w:val="22"/>
          <w:szCs w:val="18"/>
          <w:lang w:val="ru-RU"/>
        </w:rPr>
        <w:t xml:space="preserve"> Л., </w:t>
      </w:r>
      <w:proofErr w:type="spellStart"/>
      <w:r w:rsidRPr="003E3C3A">
        <w:rPr>
          <w:rFonts w:asciiTheme="minorHAnsi" w:hAnsiTheme="minorHAnsi"/>
          <w:bCs/>
          <w:sz w:val="22"/>
          <w:szCs w:val="18"/>
          <w:lang w:val="ru-RU"/>
        </w:rPr>
        <w:t>Когатыжев</w:t>
      </w:r>
      <w:proofErr w:type="spellEnd"/>
      <w:r w:rsidRPr="003E3C3A">
        <w:rPr>
          <w:rFonts w:asciiTheme="minorHAnsi" w:hAnsiTheme="minorHAnsi"/>
          <w:bCs/>
          <w:sz w:val="22"/>
          <w:szCs w:val="18"/>
          <w:lang w:val="ru-RU"/>
        </w:rPr>
        <w:t xml:space="preserve"> Ш. История вместо закона: компенсация легитимности историческими интерпретациями в ресурсных конфликтах (на примере Кабардино-Балкарской республики)  // От понимания локальных конфликтов к использованию шансов развития. Сборник научных трудов. Выпуск 2. Под ред. Яна </w:t>
      </w:r>
      <w:proofErr w:type="spellStart"/>
      <w:r w:rsidRPr="003E3C3A">
        <w:rPr>
          <w:rFonts w:asciiTheme="minorHAnsi" w:hAnsiTheme="minorHAnsi"/>
          <w:bCs/>
          <w:sz w:val="22"/>
          <w:szCs w:val="18"/>
          <w:lang w:val="ru-RU"/>
        </w:rPr>
        <w:t>Кёлера</w:t>
      </w:r>
      <w:proofErr w:type="spellEnd"/>
      <w:r w:rsidRPr="003E3C3A">
        <w:rPr>
          <w:rFonts w:asciiTheme="minorHAnsi" w:hAnsiTheme="minorHAnsi"/>
          <w:bCs/>
          <w:sz w:val="22"/>
          <w:szCs w:val="18"/>
          <w:lang w:val="ru-RU"/>
        </w:rPr>
        <w:t xml:space="preserve">, Алексея и </w:t>
      </w:r>
      <w:proofErr w:type="spellStart"/>
      <w:r w:rsidRPr="003E3C3A">
        <w:rPr>
          <w:rFonts w:asciiTheme="minorHAnsi" w:hAnsiTheme="minorHAnsi"/>
          <w:bCs/>
          <w:sz w:val="22"/>
          <w:szCs w:val="18"/>
          <w:lang w:val="ru-RU"/>
        </w:rPr>
        <w:t>Гуни</w:t>
      </w:r>
      <w:proofErr w:type="spellEnd"/>
      <w:r w:rsidRPr="003E3C3A">
        <w:rPr>
          <w:rFonts w:asciiTheme="minorHAnsi" w:hAnsiTheme="minorHAnsi"/>
          <w:bCs/>
          <w:sz w:val="22"/>
          <w:szCs w:val="18"/>
          <w:lang w:val="ru-RU"/>
        </w:rPr>
        <w:t xml:space="preserve">, Мурата Шогенова. – Берлин-Нальчик: </w:t>
      </w:r>
      <w:proofErr w:type="spellStart"/>
      <w:r w:rsidRPr="003E3C3A">
        <w:rPr>
          <w:rFonts w:asciiTheme="minorHAnsi" w:hAnsiTheme="minorHAnsi"/>
          <w:bCs/>
          <w:sz w:val="22"/>
          <w:szCs w:val="18"/>
          <w:lang w:val="ru-RU"/>
        </w:rPr>
        <w:t>Каб</w:t>
      </w:r>
      <w:proofErr w:type="gramStart"/>
      <w:r w:rsidRPr="003E3C3A">
        <w:rPr>
          <w:rFonts w:asciiTheme="minorHAnsi" w:hAnsiTheme="minorHAnsi"/>
          <w:bCs/>
          <w:sz w:val="22"/>
          <w:szCs w:val="18"/>
          <w:lang w:val="ru-RU"/>
        </w:rPr>
        <w:t>.-</w:t>
      </w:r>
      <w:proofErr w:type="gramEnd"/>
      <w:r w:rsidRPr="003E3C3A">
        <w:rPr>
          <w:rFonts w:asciiTheme="minorHAnsi" w:hAnsiTheme="minorHAnsi"/>
          <w:bCs/>
          <w:sz w:val="22"/>
          <w:szCs w:val="18"/>
          <w:lang w:val="ru-RU"/>
        </w:rPr>
        <w:t>Балк</w:t>
      </w:r>
      <w:proofErr w:type="spellEnd"/>
      <w:r w:rsidRPr="003E3C3A">
        <w:rPr>
          <w:rFonts w:asciiTheme="minorHAnsi" w:hAnsiTheme="minorHAnsi"/>
          <w:bCs/>
          <w:sz w:val="22"/>
          <w:szCs w:val="18"/>
          <w:lang w:val="ru-RU"/>
        </w:rPr>
        <w:t>. ун-т, 2014. – С. 114-149.</w:t>
      </w:r>
    </w:p>
    <w:p w:rsidR="009B737B" w:rsidRPr="003E3C3A" w:rsidRDefault="009B737B" w:rsidP="009B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lang w:val="en-US"/>
        </w:rPr>
      </w:pPr>
      <w:proofErr w:type="spellStart"/>
      <w:r w:rsidRPr="003E3C3A">
        <w:rPr>
          <w:rFonts w:asciiTheme="minorHAnsi" w:hAnsiTheme="minorHAnsi"/>
          <w:sz w:val="22"/>
          <w:lang w:val="en-US"/>
        </w:rPr>
        <w:t>Gunya</w:t>
      </w:r>
      <w:proofErr w:type="spellEnd"/>
      <w:r w:rsidRPr="003E3C3A">
        <w:rPr>
          <w:rFonts w:asciiTheme="minorHAnsi" w:hAnsiTheme="minorHAnsi"/>
          <w:sz w:val="22"/>
          <w:lang w:val="en-US"/>
        </w:rPr>
        <w:t xml:space="preserve">, A., </w:t>
      </w:r>
      <w:proofErr w:type="spellStart"/>
      <w:r w:rsidRPr="003E3C3A">
        <w:rPr>
          <w:rFonts w:asciiTheme="minorHAnsi" w:hAnsiTheme="minorHAnsi"/>
          <w:sz w:val="22"/>
          <w:lang w:val="en-US"/>
        </w:rPr>
        <w:t>Tenov</w:t>
      </w:r>
      <w:proofErr w:type="spellEnd"/>
      <w:r w:rsidRPr="003E3C3A">
        <w:rPr>
          <w:rFonts w:asciiTheme="minorHAnsi" w:hAnsiTheme="minorHAnsi"/>
          <w:sz w:val="22"/>
          <w:lang w:val="en-US"/>
        </w:rPr>
        <w:t xml:space="preserve">, T., </w:t>
      </w:r>
      <w:proofErr w:type="spellStart"/>
      <w:r w:rsidRPr="003E3C3A">
        <w:rPr>
          <w:rFonts w:asciiTheme="minorHAnsi" w:hAnsiTheme="minorHAnsi"/>
          <w:sz w:val="22"/>
          <w:lang w:val="en-US"/>
        </w:rPr>
        <w:t>Shogenov</w:t>
      </w:r>
      <w:proofErr w:type="spellEnd"/>
      <w:r w:rsidRPr="003E3C3A">
        <w:rPr>
          <w:rFonts w:asciiTheme="minorHAnsi" w:hAnsiTheme="minorHAnsi"/>
          <w:sz w:val="22"/>
          <w:lang w:val="en-US"/>
        </w:rPr>
        <w:t xml:space="preserve">, M., </w:t>
      </w:r>
      <w:proofErr w:type="spellStart"/>
      <w:r w:rsidRPr="003E3C3A">
        <w:rPr>
          <w:rFonts w:asciiTheme="minorHAnsi" w:hAnsiTheme="minorHAnsi"/>
          <w:sz w:val="22"/>
          <w:lang w:val="en-US"/>
        </w:rPr>
        <w:t>Chechenov</w:t>
      </w:r>
      <w:proofErr w:type="spellEnd"/>
      <w:r w:rsidRPr="003E3C3A">
        <w:rPr>
          <w:rFonts w:asciiTheme="minorHAnsi" w:hAnsiTheme="minorHAnsi"/>
          <w:sz w:val="22"/>
          <w:lang w:val="en-US"/>
        </w:rPr>
        <w:t xml:space="preserve">, A. (2015). “Analysis of governance strategies in the North Caucasian republics with respect to conflict regulation and development”. In: </w:t>
      </w:r>
      <w:proofErr w:type="spellStart"/>
      <w:r w:rsidRPr="003E3C3A">
        <w:rPr>
          <w:rFonts w:asciiTheme="minorHAnsi" w:hAnsiTheme="minorHAnsi"/>
          <w:sz w:val="22"/>
          <w:lang w:val="en-US"/>
        </w:rPr>
        <w:t>Michèle</w:t>
      </w:r>
      <w:proofErr w:type="spellEnd"/>
      <w:r w:rsidRPr="003E3C3A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3E3C3A">
        <w:rPr>
          <w:rFonts w:asciiTheme="minorHAnsi" w:hAnsiTheme="minorHAnsi"/>
          <w:sz w:val="22"/>
          <w:lang w:val="en-US"/>
        </w:rPr>
        <w:t>Knodt</w:t>
      </w:r>
      <w:proofErr w:type="spellEnd"/>
      <w:r w:rsidRPr="003E3C3A">
        <w:rPr>
          <w:rFonts w:asciiTheme="minorHAnsi" w:hAnsiTheme="minorHAnsi"/>
          <w:sz w:val="22"/>
          <w:lang w:val="en-US"/>
        </w:rPr>
        <w:t xml:space="preserve">, </w:t>
      </w:r>
      <w:proofErr w:type="spellStart"/>
      <w:r w:rsidRPr="003E3C3A">
        <w:rPr>
          <w:rFonts w:asciiTheme="minorHAnsi" w:hAnsiTheme="minorHAnsi"/>
          <w:sz w:val="22"/>
          <w:lang w:val="en-US"/>
        </w:rPr>
        <w:t>Sigita</w:t>
      </w:r>
      <w:proofErr w:type="spellEnd"/>
      <w:r w:rsidRPr="003E3C3A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3E3C3A">
        <w:rPr>
          <w:rFonts w:asciiTheme="minorHAnsi" w:hAnsiTheme="minorHAnsi"/>
          <w:sz w:val="22"/>
          <w:lang w:val="en-US"/>
        </w:rPr>
        <w:t>Urdze</w:t>
      </w:r>
      <w:proofErr w:type="spellEnd"/>
      <w:r w:rsidRPr="003E3C3A">
        <w:rPr>
          <w:rFonts w:asciiTheme="minorHAnsi" w:hAnsiTheme="minorHAnsi"/>
          <w:sz w:val="22"/>
          <w:lang w:val="en-US"/>
        </w:rPr>
        <w:t xml:space="preserve"> (Ed.) Caucasus, the EU and Russia - Triangular Cooperation</w:t>
      </w:r>
      <w:proofErr w:type="gramStart"/>
      <w:r w:rsidRPr="003E3C3A">
        <w:rPr>
          <w:rFonts w:asciiTheme="minorHAnsi" w:hAnsiTheme="minorHAnsi"/>
          <w:sz w:val="22"/>
          <w:lang w:val="en-US"/>
        </w:rPr>
        <w:t>?,</w:t>
      </w:r>
      <w:proofErr w:type="gramEnd"/>
      <w:r w:rsidRPr="003E3C3A">
        <w:rPr>
          <w:rFonts w:asciiTheme="minorHAnsi" w:hAnsiTheme="minorHAnsi"/>
          <w:sz w:val="22"/>
          <w:lang w:val="en-US"/>
        </w:rPr>
        <w:t xml:space="preserve"> pp. 37-58.</w:t>
      </w:r>
    </w:p>
    <w:p w:rsidR="009B737B" w:rsidRPr="003E3C3A" w:rsidRDefault="009B737B" w:rsidP="009B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lang w:val="ru-RU"/>
        </w:rPr>
      </w:pPr>
      <w:r w:rsidRPr="00BF0D1C">
        <w:rPr>
          <w:rFonts w:asciiTheme="minorHAnsi" w:hAnsiTheme="minorHAnsi"/>
          <w:sz w:val="22"/>
          <w:lang w:val="de-DE"/>
        </w:rPr>
        <w:t xml:space="preserve">Hoffmann, K., </w:t>
      </w:r>
      <w:proofErr w:type="spellStart"/>
      <w:r w:rsidRPr="00BF0D1C">
        <w:rPr>
          <w:rFonts w:asciiTheme="minorHAnsi" w:hAnsiTheme="minorHAnsi"/>
          <w:sz w:val="22"/>
          <w:lang w:val="de-DE"/>
        </w:rPr>
        <w:t>Lehmkuhl</w:t>
      </w:r>
      <w:proofErr w:type="spellEnd"/>
      <w:r w:rsidRPr="00BF0D1C">
        <w:rPr>
          <w:rFonts w:asciiTheme="minorHAnsi" w:hAnsiTheme="minorHAnsi"/>
          <w:sz w:val="22"/>
          <w:lang w:val="de-DE"/>
        </w:rPr>
        <w:t xml:space="preserve">, D. et al (2016). </w:t>
      </w:r>
      <w:r w:rsidRPr="003E3C3A">
        <w:rPr>
          <w:rFonts w:asciiTheme="minorHAnsi" w:hAnsiTheme="minorHAnsi"/>
          <w:sz w:val="22"/>
          <w:lang w:val="en-US"/>
        </w:rPr>
        <w:t>Trust and Civic Participation. Survey Data from the Caucasus. ISSICEU</w:t>
      </w:r>
      <w:r w:rsidRPr="003E3C3A">
        <w:rPr>
          <w:rFonts w:asciiTheme="minorHAnsi" w:hAnsiTheme="minorHAnsi"/>
          <w:sz w:val="22"/>
          <w:lang w:val="ru-RU"/>
        </w:rPr>
        <w:t xml:space="preserve"> </w:t>
      </w:r>
      <w:r w:rsidRPr="003E3C3A">
        <w:rPr>
          <w:rFonts w:asciiTheme="minorHAnsi" w:hAnsiTheme="minorHAnsi"/>
          <w:sz w:val="22"/>
          <w:lang w:val="en-US"/>
        </w:rPr>
        <w:t>Working</w:t>
      </w:r>
      <w:r w:rsidRPr="003E3C3A">
        <w:rPr>
          <w:rFonts w:asciiTheme="minorHAnsi" w:hAnsiTheme="minorHAnsi"/>
          <w:sz w:val="22"/>
          <w:lang w:val="ru-RU"/>
        </w:rPr>
        <w:t xml:space="preserve"> </w:t>
      </w:r>
      <w:r w:rsidRPr="003E3C3A">
        <w:rPr>
          <w:rFonts w:asciiTheme="minorHAnsi" w:hAnsiTheme="minorHAnsi"/>
          <w:sz w:val="22"/>
          <w:lang w:val="en-US"/>
        </w:rPr>
        <w:t>Paper</w:t>
      </w:r>
      <w:r w:rsidRPr="003E3C3A">
        <w:rPr>
          <w:rFonts w:asciiTheme="minorHAnsi" w:hAnsiTheme="minorHAnsi"/>
          <w:sz w:val="22"/>
          <w:lang w:val="ru-RU"/>
        </w:rPr>
        <w:t xml:space="preserve">, </w:t>
      </w:r>
      <w:r w:rsidRPr="003E3C3A">
        <w:rPr>
          <w:rFonts w:asciiTheme="minorHAnsi" w:hAnsiTheme="minorHAnsi"/>
          <w:sz w:val="22"/>
          <w:lang w:val="en-US"/>
        </w:rPr>
        <w:t>University</w:t>
      </w:r>
      <w:r w:rsidRPr="003E3C3A">
        <w:rPr>
          <w:rFonts w:asciiTheme="minorHAnsi" w:hAnsiTheme="minorHAnsi"/>
          <w:sz w:val="22"/>
          <w:lang w:val="ru-RU"/>
        </w:rPr>
        <w:t xml:space="preserve"> </w:t>
      </w:r>
      <w:r w:rsidRPr="003E3C3A">
        <w:rPr>
          <w:rFonts w:asciiTheme="minorHAnsi" w:hAnsiTheme="minorHAnsi"/>
          <w:sz w:val="22"/>
          <w:lang w:val="en-US"/>
        </w:rPr>
        <w:t>of</w:t>
      </w:r>
      <w:r w:rsidRPr="003E3C3A">
        <w:rPr>
          <w:rFonts w:asciiTheme="minorHAnsi" w:hAnsiTheme="minorHAnsi"/>
          <w:sz w:val="22"/>
          <w:lang w:val="ru-RU"/>
        </w:rPr>
        <w:t xml:space="preserve"> </w:t>
      </w:r>
      <w:r w:rsidRPr="003E3C3A">
        <w:rPr>
          <w:rFonts w:asciiTheme="minorHAnsi" w:hAnsiTheme="minorHAnsi"/>
          <w:sz w:val="22"/>
          <w:lang w:val="en-US"/>
        </w:rPr>
        <w:t>St</w:t>
      </w:r>
      <w:r w:rsidRPr="003E3C3A">
        <w:rPr>
          <w:rFonts w:asciiTheme="minorHAnsi" w:hAnsiTheme="minorHAnsi"/>
          <w:sz w:val="22"/>
          <w:lang w:val="ru-RU"/>
        </w:rPr>
        <w:t xml:space="preserve">. </w:t>
      </w:r>
      <w:proofErr w:type="spellStart"/>
      <w:r w:rsidRPr="003E3C3A">
        <w:rPr>
          <w:rFonts w:asciiTheme="minorHAnsi" w:hAnsiTheme="minorHAnsi"/>
          <w:sz w:val="22"/>
          <w:lang w:val="en-US"/>
        </w:rPr>
        <w:t>Gallen</w:t>
      </w:r>
      <w:proofErr w:type="spellEnd"/>
      <w:r w:rsidRPr="003E3C3A">
        <w:rPr>
          <w:rFonts w:asciiTheme="minorHAnsi" w:hAnsiTheme="minorHAnsi"/>
          <w:sz w:val="22"/>
          <w:lang w:val="ru-RU"/>
        </w:rPr>
        <w:t xml:space="preserve"> (в печати).</w:t>
      </w:r>
    </w:p>
    <w:p w:rsidR="009B737B" w:rsidRPr="003E3C3A" w:rsidRDefault="009B737B" w:rsidP="009B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lang w:val="en-US"/>
        </w:rPr>
      </w:pPr>
      <w:proofErr w:type="spellStart"/>
      <w:r w:rsidRPr="003E3C3A">
        <w:rPr>
          <w:rFonts w:asciiTheme="minorHAnsi" w:hAnsiTheme="minorHAnsi" w:cs="Arial"/>
          <w:sz w:val="22"/>
          <w:szCs w:val="28"/>
          <w:lang w:val="en-US"/>
        </w:rPr>
        <w:t>Verba</w:t>
      </w:r>
      <w:proofErr w:type="spellEnd"/>
      <w:r w:rsidRPr="003E3C3A">
        <w:rPr>
          <w:rFonts w:asciiTheme="minorHAnsi" w:hAnsiTheme="minorHAnsi" w:cs="Arial"/>
          <w:sz w:val="22"/>
          <w:szCs w:val="28"/>
          <w:lang w:val="en-US"/>
        </w:rPr>
        <w:t>, Sidney (1996). The Citizen as Respondent: Sample Surveys and American Democracy Presidential Address, American Political Science Association, 1995. In: </w:t>
      </w:r>
      <w:r w:rsidRPr="003E3C3A">
        <w:rPr>
          <w:rFonts w:asciiTheme="minorHAnsi" w:hAnsiTheme="minorHAnsi" w:cs="Arial"/>
          <w:i/>
          <w:iCs/>
          <w:sz w:val="22"/>
          <w:szCs w:val="28"/>
          <w:lang w:val="en-US"/>
        </w:rPr>
        <w:t>The American Political Science Review</w:t>
      </w:r>
      <w:r w:rsidRPr="003E3C3A">
        <w:rPr>
          <w:rFonts w:asciiTheme="minorHAnsi" w:hAnsiTheme="minorHAnsi" w:cs="Arial"/>
          <w:sz w:val="22"/>
          <w:szCs w:val="28"/>
          <w:lang w:val="en-US"/>
        </w:rPr>
        <w:t>, Vol. 90, No. 1, March.</w:t>
      </w:r>
    </w:p>
    <w:p w:rsidR="009B737B" w:rsidRPr="003E3C3A" w:rsidRDefault="009B737B" w:rsidP="009B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lang w:val="en-US"/>
        </w:rPr>
      </w:pPr>
      <w:proofErr w:type="spellStart"/>
      <w:r w:rsidRPr="00BF0D1C">
        <w:rPr>
          <w:rFonts w:asciiTheme="minorHAnsi" w:hAnsiTheme="minorHAnsi" w:cs="Arial"/>
          <w:iCs/>
          <w:sz w:val="22"/>
          <w:szCs w:val="28"/>
          <w:lang w:val="de-DE"/>
        </w:rPr>
        <w:t>Ekman</w:t>
      </w:r>
      <w:proofErr w:type="spellEnd"/>
      <w:r w:rsidRPr="00BF0D1C">
        <w:rPr>
          <w:rFonts w:asciiTheme="minorHAnsi" w:hAnsiTheme="minorHAnsi" w:cs="Arial"/>
          <w:iCs/>
          <w:sz w:val="22"/>
          <w:szCs w:val="28"/>
          <w:lang w:val="de-DE"/>
        </w:rPr>
        <w:t xml:space="preserve">, Joakim; </w:t>
      </w:r>
      <w:proofErr w:type="spellStart"/>
      <w:r w:rsidRPr="00BF0D1C">
        <w:rPr>
          <w:rFonts w:asciiTheme="minorHAnsi" w:hAnsiTheme="minorHAnsi" w:cs="Arial"/>
          <w:iCs/>
          <w:sz w:val="22"/>
          <w:szCs w:val="28"/>
          <w:lang w:val="de-DE"/>
        </w:rPr>
        <w:t>Amna</w:t>
      </w:r>
      <w:proofErr w:type="spellEnd"/>
      <w:r w:rsidRPr="00BF0D1C">
        <w:rPr>
          <w:rFonts w:asciiTheme="minorHAnsi" w:hAnsiTheme="minorHAnsi" w:cs="Arial"/>
          <w:iCs/>
          <w:sz w:val="22"/>
          <w:szCs w:val="28"/>
          <w:lang w:val="de-DE"/>
        </w:rPr>
        <w:t xml:space="preserve">, Erik (June 2012). </w:t>
      </w:r>
      <w:r w:rsidRPr="003E3C3A">
        <w:rPr>
          <w:rFonts w:asciiTheme="minorHAnsi" w:hAnsiTheme="minorHAnsi" w:cs="Arial"/>
          <w:iCs/>
          <w:sz w:val="22"/>
          <w:szCs w:val="28"/>
          <w:lang w:val="en-US"/>
        </w:rPr>
        <w:t xml:space="preserve">Political participation and civic engagement: towards a new typology. </w:t>
      </w:r>
      <w:r w:rsidRPr="003E3C3A">
        <w:rPr>
          <w:rFonts w:asciiTheme="minorHAnsi" w:hAnsiTheme="minorHAnsi" w:cs="Arial"/>
          <w:i/>
          <w:iCs/>
          <w:sz w:val="22"/>
          <w:szCs w:val="28"/>
          <w:lang w:val="en-US"/>
        </w:rPr>
        <w:t xml:space="preserve">Human Affairs (De </w:t>
      </w:r>
      <w:proofErr w:type="spellStart"/>
      <w:r w:rsidRPr="003E3C3A">
        <w:rPr>
          <w:rFonts w:asciiTheme="minorHAnsi" w:hAnsiTheme="minorHAnsi" w:cs="Arial"/>
          <w:i/>
          <w:iCs/>
          <w:sz w:val="22"/>
          <w:szCs w:val="28"/>
          <w:lang w:val="en-US"/>
        </w:rPr>
        <w:t>Gruyter</w:t>
      </w:r>
      <w:proofErr w:type="spellEnd"/>
      <w:r w:rsidRPr="003E3C3A">
        <w:rPr>
          <w:rFonts w:asciiTheme="minorHAnsi" w:hAnsiTheme="minorHAnsi" w:cs="Arial"/>
          <w:i/>
          <w:iCs/>
          <w:sz w:val="22"/>
          <w:szCs w:val="28"/>
          <w:lang w:val="en-US"/>
        </w:rPr>
        <w:t>)</w:t>
      </w:r>
      <w:r w:rsidRPr="003E3C3A">
        <w:rPr>
          <w:rFonts w:asciiTheme="minorHAnsi" w:hAnsiTheme="minorHAnsi" w:cs="Arial"/>
          <w:iCs/>
          <w:sz w:val="22"/>
          <w:szCs w:val="28"/>
          <w:lang w:val="en-US"/>
        </w:rPr>
        <w:t xml:space="preserve">, </w:t>
      </w:r>
      <w:r w:rsidRPr="003E3C3A">
        <w:rPr>
          <w:rFonts w:asciiTheme="minorHAnsi" w:hAnsiTheme="minorHAnsi" w:cs="Arial"/>
          <w:bCs/>
          <w:iCs/>
          <w:sz w:val="22"/>
          <w:szCs w:val="28"/>
          <w:lang w:val="en-US"/>
        </w:rPr>
        <w:t>22</w:t>
      </w:r>
      <w:r w:rsidRPr="003E3C3A">
        <w:rPr>
          <w:rFonts w:asciiTheme="minorHAnsi" w:hAnsiTheme="minorHAnsi" w:cs="Arial"/>
          <w:iCs/>
          <w:sz w:val="22"/>
          <w:szCs w:val="28"/>
          <w:lang w:val="en-US"/>
        </w:rPr>
        <w:t xml:space="preserve"> (3): 283–300.</w:t>
      </w:r>
    </w:p>
    <w:p w:rsidR="009B737B" w:rsidRPr="003E3C3A" w:rsidRDefault="009B737B" w:rsidP="009B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lang w:val="en-US"/>
        </w:rPr>
      </w:pPr>
      <w:r w:rsidRPr="003E3C3A">
        <w:rPr>
          <w:rFonts w:asciiTheme="minorHAnsi" w:hAnsiTheme="minorHAnsi" w:cs="Arial"/>
          <w:sz w:val="22"/>
          <w:szCs w:val="28"/>
          <w:lang w:val="en-US" w:eastAsia="en-US"/>
        </w:rPr>
        <w:t xml:space="preserve">Koehler, J., </w:t>
      </w:r>
      <w:proofErr w:type="spellStart"/>
      <w:r w:rsidRPr="003E3C3A">
        <w:rPr>
          <w:rFonts w:asciiTheme="minorHAnsi" w:hAnsiTheme="minorHAnsi" w:cs="Arial"/>
          <w:sz w:val="22"/>
          <w:szCs w:val="28"/>
          <w:lang w:val="en-US" w:eastAsia="en-US"/>
        </w:rPr>
        <w:t>Zurcher</w:t>
      </w:r>
      <w:proofErr w:type="spellEnd"/>
      <w:r w:rsidRPr="003E3C3A">
        <w:rPr>
          <w:rFonts w:asciiTheme="minorHAnsi" w:hAnsiTheme="minorHAnsi" w:cs="Arial"/>
          <w:sz w:val="22"/>
          <w:szCs w:val="28"/>
          <w:lang w:val="en-US" w:eastAsia="en-US"/>
        </w:rPr>
        <w:t xml:space="preserve">, C. (2003). Institutions and the </w:t>
      </w:r>
      <w:proofErr w:type="spellStart"/>
      <w:r w:rsidRPr="003E3C3A">
        <w:rPr>
          <w:rFonts w:asciiTheme="minorHAnsi" w:hAnsiTheme="minorHAnsi" w:cs="Arial"/>
          <w:sz w:val="22"/>
          <w:szCs w:val="28"/>
          <w:lang w:val="en-US" w:eastAsia="en-US"/>
        </w:rPr>
        <w:t>organisation</w:t>
      </w:r>
      <w:proofErr w:type="spellEnd"/>
      <w:r w:rsidRPr="003E3C3A">
        <w:rPr>
          <w:rFonts w:asciiTheme="minorHAnsi" w:hAnsiTheme="minorHAnsi" w:cs="Arial"/>
          <w:sz w:val="22"/>
          <w:szCs w:val="28"/>
          <w:lang w:val="en-US" w:eastAsia="en-US"/>
        </w:rPr>
        <w:t xml:space="preserve"> of stability and violence</w:t>
      </w:r>
      <w:r w:rsidRPr="003E3C3A">
        <w:rPr>
          <w:rFonts w:asciiTheme="minorHAnsi" w:hAnsiTheme="minorHAnsi" w:cs="Arial"/>
          <w:i/>
          <w:sz w:val="22"/>
          <w:szCs w:val="28"/>
          <w:lang w:val="en-US" w:eastAsia="en-US"/>
        </w:rPr>
        <w:t xml:space="preserve">. </w:t>
      </w:r>
      <w:r w:rsidRPr="003E3C3A">
        <w:rPr>
          <w:rFonts w:asciiTheme="minorHAnsi" w:hAnsiTheme="minorHAnsi" w:cs="Arial"/>
          <w:sz w:val="22"/>
          <w:szCs w:val="28"/>
          <w:lang w:val="en-US" w:eastAsia="en-US"/>
        </w:rPr>
        <w:t xml:space="preserve">In: J. Koehler and C. </w:t>
      </w:r>
      <w:proofErr w:type="spellStart"/>
      <w:r w:rsidRPr="003E3C3A">
        <w:rPr>
          <w:rFonts w:asciiTheme="minorHAnsi" w:hAnsiTheme="minorHAnsi" w:cs="Arial"/>
          <w:sz w:val="22"/>
          <w:szCs w:val="28"/>
          <w:lang w:val="en-US" w:eastAsia="en-US"/>
        </w:rPr>
        <w:t>Zurcher</w:t>
      </w:r>
      <w:proofErr w:type="spellEnd"/>
      <w:r w:rsidRPr="003E3C3A">
        <w:rPr>
          <w:rFonts w:asciiTheme="minorHAnsi" w:hAnsiTheme="minorHAnsi" w:cs="Arial"/>
          <w:sz w:val="22"/>
          <w:szCs w:val="28"/>
          <w:lang w:val="en-US" w:eastAsia="en-US"/>
        </w:rPr>
        <w:t xml:space="preserve"> (ed.), </w:t>
      </w:r>
      <w:r w:rsidRPr="003E3C3A">
        <w:rPr>
          <w:rFonts w:asciiTheme="minorHAnsi" w:hAnsiTheme="minorHAnsi" w:cs="Arial"/>
          <w:i/>
          <w:sz w:val="22"/>
          <w:szCs w:val="28"/>
          <w:lang w:val="en-US" w:eastAsia="en-US"/>
        </w:rPr>
        <w:t>Potentials of Disorder</w:t>
      </w:r>
      <w:r w:rsidRPr="003E3C3A">
        <w:rPr>
          <w:rFonts w:asciiTheme="minorHAnsi" w:hAnsiTheme="minorHAnsi" w:cs="Arial"/>
          <w:sz w:val="22"/>
          <w:szCs w:val="28"/>
          <w:lang w:val="en-US" w:eastAsia="en-US"/>
        </w:rPr>
        <w:t>, Manchester, New York, Manchester UP, pp. 243- 265.</w:t>
      </w:r>
    </w:p>
    <w:p w:rsidR="009B737B" w:rsidRPr="003E3C3A" w:rsidRDefault="009B737B" w:rsidP="009B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lang w:val="ru-RU"/>
        </w:rPr>
      </w:pPr>
      <w:r w:rsidRPr="003E3C3A">
        <w:rPr>
          <w:rStyle w:val="reference-text"/>
          <w:rFonts w:asciiTheme="minorHAnsi" w:hAnsiTheme="minorHAnsi" w:cs="Arial"/>
          <w:iCs/>
          <w:sz w:val="22"/>
          <w:szCs w:val="28"/>
        </w:rPr>
        <w:t>Scott, James C. (1998).</w:t>
      </w:r>
      <w:r w:rsidRPr="003E3C3A">
        <w:rPr>
          <w:rStyle w:val="reference-text"/>
          <w:rFonts w:asciiTheme="minorHAnsi" w:hAnsiTheme="minorHAnsi" w:cs="Arial"/>
          <w:i/>
          <w:iCs/>
          <w:sz w:val="22"/>
          <w:szCs w:val="28"/>
        </w:rPr>
        <w:t xml:space="preserve"> </w:t>
      </w:r>
      <w:r w:rsidRPr="003E3C3A">
        <w:rPr>
          <w:rStyle w:val="reference-text"/>
          <w:rFonts w:asciiTheme="minorHAnsi" w:hAnsiTheme="minorHAnsi" w:cs="Arial"/>
          <w:i/>
          <w:sz w:val="22"/>
          <w:szCs w:val="28"/>
        </w:rPr>
        <w:t>Seeing Like a State: How Certain Schemes to Improve the Human Condition Have Failed</w:t>
      </w:r>
      <w:r w:rsidRPr="003E3C3A">
        <w:rPr>
          <w:rStyle w:val="reference-text"/>
          <w:rFonts w:asciiTheme="minorHAnsi" w:hAnsiTheme="minorHAnsi" w:cs="Arial"/>
          <w:i/>
          <w:iCs/>
          <w:sz w:val="22"/>
          <w:szCs w:val="28"/>
        </w:rPr>
        <w:t xml:space="preserve">. </w:t>
      </w:r>
      <w:r w:rsidRPr="003E3C3A">
        <w:rPr>
          <w:rStyle w:val="reference-text"/>
          <w:rFonts w:asciiTheme="minorHAnsi" w:hAnsiTheme="minorHAnsi" w:cs="Arial"/>
          <w:iCs/>
          <w:sz w:val="22"/>
          <w:szCs w:val="28"/>
        </w:rPr>
        <w:t>Yale</w:t>
      </w:r>
      <w:r w:rsidRPr="003E3C3A">
        <w:rPr>
          <w:rStyle w:val="reference-text"/>
          <w:rFonts w:asciiTheme="minorHAnsi" w:hAnsiTheme="minorHAnsi" w:cs="Arial"/>
          <w:iCs/>
          <w:sz w:val="22"/>
          <w:szCs w:val="28"/>
          <w:lang w:val="ru-RU"/>
        </w:rPr>
        <w:t xml:space="preserve"> </w:t>
      </w:r>
      <w:r w:rsidRPr="003E3C3A">
        <w:rPr>
          <w:rStyle w:val="reference-text"/>
          <w:rFonts w:asciiTheme="minorHAnsi" w:hAnsiTheme="minorHAnsi" w:cs="Arial"/>
          <w:iCs/>
          <w:sz w:val="22"/>
          <w:szCs w:val="28"/>
        </w:rPr>
        <w:t>University</w:t>
      </w:r>
      <w:r w:rsidRPr="003E3C3A">
        <w:rPr>
          <w:rStyle w:val="reference-text"/>
          <w:rFonts w:asciiTheme="minorHAnsi" w:hAnsiTheme="minorHAnsi" w:cs="Arial"/>
          <w:iCs/>
          <w:sz w:val="22"/>
          <w:szCs w:val="28"/>
          <w:lang w:val="ru-RU"/>
        </w:rPr>
        <w:t xml:space="preserve"> </w:t>
      </w:r>
      <w:r w:rsidRPr="003E3C3A">
        <w:rPr>
          <w:rStyle w:val="reference-text"/>
          <w:rFonts w:asciiTheme="minorHAnsi" w:hAnsiTheme="minorHAnsi" w:cs="Arial"/>
          <w:iCs/>
          <w:sz w:val="22"/>
          <w:szCs w:val="28"/>
        </w:rPr>
        <w:t>Press</w:t>
      </w:r>
      <w:r w:rsidRPr="003E3C3A">
        <w:rPr>
          <w:rStyle w:val="reference-text"/>
          <w:rFonts w:asciiTheme="minorHAnsi" w:hAnsiTheme="minorHAnsi" w:cs="Arial"/>
          <w:iCs/>
          <w:sz w:val="22"/>
          <w:szCs w:val="28"/>
          <w:lang w:val="ru-RU"/>
        </w:rPr>
        <w:t>.</w:t>
      </w:r>
    </w:p>
    <w:p w:rsidR="009B737B" w:rsidRPr="003E3C3A" w:rsidRDefault="009B737B" w:rsidP="009B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Cs/>
          <w:sz w:val="22"/>
          <w:szCs w:val="28"/>
          <w:lang w:val="en-US"/>
        </w:rPr>
      </w:pPr>
      <w:r w:rsidRPr="008B423B">
        <w:rPr>
          <w:rFonts w:asciiTheme="minorHAnsi" w:hAnsiTheme="minorHAnsi" w:cs="Arial"/>
          <w:bCs/>
          <w:sz w:val="22"/>
          <w:szCs w:val="28"/>
          <w:lang w:val="de-DE"/>
        </w:rPr>
        <w:lastRenderedPageBreak/>
        <w:t xml:space="preserve">Koehler, J., </w:t>
      </w:r>
      <w:proofErr w:type="spellStart"/>
      <w:r w:rsidRPr="008B423B">
        <w:rPr>
          <w:rFonts w:asciiTheme="minorHAnsi" w:hAnsiTheme="minorHAnsi" w:cs="Arial"/>
          <w:bCs/>
          <w:sz w:val="22"/>
          <w:szCs w:val="28"/>
          <w:lang w:val="de-DE"/>
        </w:rPr>
        <w:t>Gosztonyi</w:t>
      </w:r>
      <w:proofErr w:type="spellEnd"/>
      <w:r w:rsidRPr="008B423B">
        <w:rPr>
          <w:rFonts w:asciiTheme="minorHAnsi" w:hAnsiTheme="minorHAnsi" w:cs="Arial"/>
          <w:bCs/>
          <w:sz w:val="22"/>
          <w:szCs w:val="28"/>
          <w:lang w:val="de-DE"/>
        </w:rPr>
        <w:t xml:space="preserve">, K., Böhnke, J. (2011). </w:t>
      </w:r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 xml:space="preserve">Assessing conflict and stability in Afghanistan. A methodological approach.  In: </w:t>
      </w:r>
      <w:r w:rsidRPr="003E3C3A">
        <w:rPr>
          <w:rFonts w:asciiTheme="minorHAnsi" w:hAnsiTheme="minorHAnsi" w:cs="Arial"/>
          <w:bCs/>
          <w:i/>
          <w:sz w:val="22"/>
          <w:szCs w:val="28"/>
          <w:lang w:val="en-US"/>
        </w:rPr>
        <w:t>Violence, Drugs and Governance: Mexican Security in Comparative Perspective</w:t>
      </w:r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 xml:space="preserve">, Stanford University, </w:t>
      </w:r>
      <w:proofErr w:type="gramStart"/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>4</w:t>
      </w:r>
      <w:proofErr w:type="gramEnd"/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 xml:space="preserve"> October 2011).</w:t>
      </w:r>
    </w:p>
    <w:p w:rsidR="009B737B" w:rsidRPr="009B737B" w:rsidRDefault="009B737B" w:rsidP="009B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Cs/>
          <w:sz w:val="22"/>
          <w:szCs w:val="28"/>
          <w:lang w:val="en-US"/>
        </w:rPr>
      </w:pPr>
      <w:proofErr w:type="spellStart"/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>Elwert</w:t>
      </w:r>
      <w:proofErr w:type="spellEnd"/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 xml:space="preserve">, Georg (2002). Conflict: Anthropological Aspects. In: </w:t>
      </w:r>
      <w:proofErr w:type="spellStart"/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>Smelser</w:t>
      </w:r>
      <w:proofErr w:type="spellEnd"/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 xml:space="preserve">, Neil J. and </w:t>
      </w:r>
      <w:proofErr w:type="spellStart"/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>Baltes</w:t>
      </w:r>
      <w:proofErr w:type="spellEnd"/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 xml:space="preserve">, Paul B. (ed.), </w:t>
      </w:r>
      <w:r w:rsidRPr="003E3C3A">
        <w:rPr>
          <w:rFonts w:asciiTheme="minorHAnsi" w:hAnsiTheme="minorHAnsi" w:cs="Arial"/>
          <w:bCs/>
          <w:i/>
          <w:sz w:val="22"/>
          <w:szCs w:val="28"/>
          <w:lang w:val="en-US"/>
        </w:rPr>
        <w:t>International Encyclopedia of the Social and Behavioral Science</w:t>
      </w:r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>, Elsevier, p. 2542-2547.</w:t>
      </w:r>
    </w:p>
    <w:p w:rsidR="009B737B" w:rsidRPr="003E3C3A" w:rsidRDefault="009B737B" w:rsidP="009B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lang w:val="en-US"/>
        </w:rPr>
      </w:pPr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 xml:space="preserve">Elias, Norbert (1983). </w:t>
      </w:r>
      <w:r w:rsidRPr="003E3C3A">
        <w:rPr>
          <w:rFonts w:asciiTheme="minorHAnsi" w:hAnsiTheme="minorHAnsi" w:cs="Arial"/>
          <w:bCs/>
          <w:i/>
          <w:sz w:val="22"/>
          <w:szCs w:val="28"/>
          <w:lang w:val="en-US"/>
        </w:rPr>
        <w:t>The Court Society</w:t>
      </w:r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 xml:space="preserve">, translated by Edmund </w:t>
      </w:r>
      <w:proofErr w:type="spellStart"/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>Jephcott</w:t>
      </w:r>
      <w:proofErr w:type="spellEnd"/>
      <w:r w:rsidRPr="003E3C3A">
        <w:rPr>
          <w:rFonts w:asciiTheme="minorHAnsi" w:hAnsiTheme="minorHAnsi" w:cs="Arial"/>
          <w:bCs/>
          <w:sz w:val="22"/>
          <w:szCs w:val="28"/>
          <w:lang w:val="en-US"/>
        </w:rPr>
        <w:t>, Oxford: Blackwell originally published in 1969.</w:t>
      </w:r>
    </w:p>
    <w:p w:rsidR="0034408F" w:rsidRPr="009B737B" w:rsidRDefault="0034408F" w:rsidP="001A1A03">
      <w:pPr>
        <w:pStyle w:val="a3"/>
        <w:spacing w:line="23" w:lineRule="atLeas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34408F" w:rsidRPr="009B737B" w:rsidRDefault="0034408F" w:rsidP="001A1A03">
      <w:pPr>
        <w:pStyle w:val="a3"/>
        <w:spacing w:line="23" w:lineRule="atLeast"/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34408F" w:rsidRPr="009B737B" w:rsidSect="00430D8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5A" w:rsidRDefault="0095125A" w:rsidP="004A2148">
      <w:pPr>
        <w:spacing w:after="0" w:line="240" w:lineRule="auto"/>
      </w:pPr>
      <w:r>
        <w:separator/>
      </w:r>
    </w:p>
  </w:endnote>
  <w:endnote w:type="continuationSeparator" w:id="0">
    <w:p w:rsidR="0095125A" w:rsidRDefault="0095125A" w:rsidP="004A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138"/>
      <w:docPartObj>
        <w:docPartGallery w:val="Page Numbers (Bottom of Page)"/>
        <w:docPartUnique/>
      </w:docPartObj>
    </w:sdtPr>
    <w:sdtContent>
      <w:p w:rsidR="0054674C" w:rsidRDefault="00EA48CD">
        <w:pPr>
          <w:pStyle w:val="af"/>
          <w:jc w:val="right"/>
        </w:pPr>
        <w:fldSimple w:instr=" PAGE   \* MERGEFORMAT ">
          <w:r w:rsidR="00BF0D1C">
            <w:rPr>
              <w:noProof/>
            </w:rPr>
            <w:t>1</w:t>
          </w:r>
        </w:fldSimple>
      </w:p>
    </w:sdtContent>
  </w:sdt>
  <w:p w:rsidR="0054674C" w:rsidRDefault="0054674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5A" w:rsidRDefault="0095125A" w:rsidP="004A2148">
      <w:pPr>
        <w:spacing w:after="0" w:line="240" w:lineRule="auto"/>
      </w:pPr>
      <w:r>
        <w:separator/>
      </w:r>
    </w:p>
  </w:footnote>
  <w:footnote w:type="continuationSeparator" w:id="0">
    <w:p w:rsidR="0095125A" w:rsidRDefault="0095125A" w:rsidP="004A2148">
      <w:pPr>
        <w:spacing w:after="0" w:line="240" w:lineRule="auto"/>
      </w:pPr>
      <w:r>
        <w:continuationSeparator/>
      </w:r>
    </w:p>
  </w:footnote>
  <w:footnote w:id="1">
    <w:p w:rsidR="00540969" w:rsidRPr="009B737B" w:rsidRDefault="00540969" w:rsidP="000747E1">
      <w:pPr>
        <w:pStyle w:val="a3"/>
        <w:spacing w:after="0" w:line="240" w:lineRule="auto"/>
        <w:jc w:val="both"/>
        <w:rPr>
          <w:lang w:val="ru-RU"/>
        </w:rPr>
      </w:pPr>
      <w:r w:rsidRPr="009B737B">
        <w:rPr>
          <w:rStyle w:val="a5"/>
        </w:rPr>
        <w:footnoteRef/>
      </w:r>
      <w:r w:rsidRPr="009B737B">
        <w:rPr>
          <w:lang w:val="ru-RU"/>
        </w:rPr>
        <w:t xml:space="preserve"> </w:t>
      </w:r>
      <w:r w:rsidR="0034408F" w:rsidRPr="009B737B">
        <w:rPr>
          <w:lang w:val="ru-RU"/>
        </w:rPr>
        <w:t>Настоящая статья подготовлена в рамках международного научно-исследовательского проекта финансируемого Седьмой Рамочной программой научных исследований Европейской Комиссии «Внутренние и внешние источники стабильности/нестабильности на Кавказе» (</w:t>
      </w:r>
      <w:r w:rsidR="00EA48CD">
        <w:fldChar w:fldCharType="begin"/>
      </w:r>
      <w:r w:rsidR="00EA48CD">
        <w:instrText>HYPERLINK</w:instrText>
      </w:r>
      <w:r w:rsidR="00EA48CD" w:rsidRPr="00BF0D1C">
        <w:rPr>
          <w:lang w:val="ru-RU"/>
        </w:rPr>
        <w:instrText xml:space="preserve"> "</w:instrText>
      </w:r>
      <w:r w:rsidR="00EA48CD">
        <w:instrText>http</w:instrText>
      </w:r>
      <w:r w:rsidR="00EA48CD" w:rsidRPr="00BF0D1C">
        <w:rPr>
          <w:lang w:val="ru-RU"/>
        </w:rPr>
        <w:instrText>://</w:instrText>
      </w:r>
      <w:r w:rsidR="00EA48CD">
        <w:instrText>www</w:instrText>
      </w:r>
      <w:r w:rsidR="00EA48CD" w:rsidRPr="00BF0D1C">
        <w:rPr>
          <w:lang w:val="ru-RU"/>
        </w:rPr>
        <w:instrText>.</w:instrText>
      </w:r>
      <w:r w:rsidR="00EA48CD">
        <w:instrText>ISSICEU</w:instrText>
      </w:r>
      <w:r w:rsidR="00EA48CD" w:rsidRPr="00BF0D1C">
        <w:rPr>
          <w:lang w:val="ru-RU"/>
        </w:rPr>
        <w:instrText>.</w:instrText>
      </w:r>
      <w:r w:rsidR="00EA48CD">
        <w:instrText>eu</w:instrText>
      </w:r>
      <w:r w:rsidR="00EA48CD" w:rsidRPr="00BF0D1C">
        <w:rPr>
          <w:lang w:val="ru-RU"/>
        </w:rPr>
        <w:instrText>"</w:instrText>
      </w:r>
      <w:r w:rsidR="00EA48CD">
        <w:fldChar w:fldCharType="separate"/>
      </w:r>
      <w:r w:rsidR="00CA3FE6" w:rsidRPr="009B737B">
        <w:rPr>
          <w:rStyle w:val="a6"/>
          <w:lang w:val="ru-RU"/>
        </w:rPr>
        <w:t>www.ISSICEU.eu</w:t>
      </w:r>
      <w:r w:rsidR="00EA48CD">
        <w:fldChar w:fldCharType="end"/>
      </w:r>
      <w:r w:rsidR="0034408F" w:rsidRPr="009B737B">
        <w:rPr>
          <w:lang w:val="ru-RU"/>
        </w:rPr>
        <w:t>)</w:t>
      </w:r>
    </w:p>
  </w:footnote>
  <w:footnote w:id="2">
    <w:p w:rsidR="00D060B2" w:rsidRPr="009B737B" w:rsidRDefault="00D060B2" w:rsidP="000747E1">
      <w:pPr>
        <w:pStyle w:val="a3"/>
        <w:spacing w:after="0" w:line="240" w:lineRule="auto"/>
        <w:jc w:val="both"/>
        <w:rPr>
          <w:lang w:val="ru-RU"/>
        </w:rPr>
      </w:pPr>
      <w:r w:rsidRPr="009B737B">
        <w:rPr>
          <w:rStyle w:val="a5"/>
        </w:rPr>
        <w:footnoteRef/>
      </w:r>
      <w:r w:rsidRPr="009B737B">
        <w:rPr>
          <w:lang w:val="ru-RU"/>
        </w:rPr>
        <w:t xml:space="preserve"> </w:t>
      </w:r>
      <w:r w:rsidR="000E54D8" w:rsidRPr="009B737B">
        <w:rPr>
          <w:lang w:val="ru-RU"/>
        </w:rPr>
        <w:t>Гуня А.Н., Кёлер Я., Цюрхер К. Эмпирические исследования локальных конфликтов. Часть 1. Введение в методологию и методы полевых исследований. – Москва: Медиа-Пресс. – 151 с.</w:t>
      </w:r>
    </w:p>
  </w:footnote>
  <w:footnote w:id="3">
    <w:p w:rsidR="003D0E9E" w:rsidRPr="009B737B" w:rsidRDefault="003D0E9E" w:rsidP="000747E1">
      <w:pPr>
        <w:pStyle w:val="a3"/>
        <w:spacing w:after="0" w:line="240" w:lineRule="auto"/>
        <w:jc w:val="both"/>
        <w:rPr>
          <w:lang w:val="en-US"/>
        </w:rPr>
      </w:pPr>
      <w:r w:rsidRPr="009B737B">
        <w:rPr>
          <w:rStyle w:val="a5"/>
        </w:rPr>
        <w:footnoteRef/>
      </w:r>
      <w:r w:rsidRPr="009B737B">
        <w:rPr>
          <w:lang w:val="en-US"/>
        </w:rPr>
        <w:t xml:space="preserve"> </w:t>
      </w:r>
      <w:proofErr w:type="spellStart"/>
      <w:proofErr w:type="gramStart"/>
      <w:r w:rsidR="000C0110" w:rsidRPr="009B737B">
        <w:rPr>
          <w:lang w:val="en-US"/>
        </w:rPr>
        <w:t>Gunya</w:t>
      </w:r>
      <w:proofErr w:type="spellEnd"/>
      <w:r w:rsidR="000C0110" w:rsidRPr="009B737B">
        <w:rPr>
          <w:lang w:val="en-US"/>
        </w:rPr>
        <w:t xml:space="preserve">, A., </w:t>
      </w:r>
      <w:proofErr w:type="spellStart"/>
      <w:r w:rsidR="000C0110" w:rsidRPr="009B737B">
        <w:rPr>
          <w:lang w:val="en-US"/>
        </w:rPr>
        <w:t>Tenov</w:t>
      </w:r>
      <w:proofErr w:type="spellEnd"/>
      <w:r w:rsidR="000C0110" w:rsidRPr="009B737B">
        <w:rPr>
          <w:lang w:val="en-US"/>
        </w:rPr>
        <w:t xml:space="preserve">, T., Shogenov, M., </w:t>
      </w:r>
      <w:proofErr w:type="spellStart"/>
      <w:r w:rsidR="000C0110" w:rsidRPr="009B737B">
        <w:rPr>
          <w:lang w:val="en-US"/>
        </w:rPr>
        <w:t>Chechenov</w:t>
      </w:r>
      <w:proofErr w:type="spellEnd"/>
      <w:r w:rsidR="000C0110" w:rsidRPr="009B737B">
        <w:rPr>
          <w:lang w:val="en-US"/>
        </w:rPr>
        <w:t>, A. (2015).</w:t>
      </w:r>
      <w:proofErr w:type="gramEnd"/>
      <w:r w:rsidR="000C0110" w:rsidRPr="009B737B">
        <w:rPr>
          <w:lang w:val="en-US"/>
        </w:rPr>
        <w:t xml:space="preserve"> </w:t>
      </w:r>
      <w:proofErr w:type="gramStart"/>
      <w:r w:rsidR="000C0110" w:rsidRPr="009B737B">
        <w:rPr>
          <w:lang w:val="en-US"/>
        </w:rPr>
        <w:t>“Analysis of governance strategies in the North Caucasian republics with respect to conflict regulation and development”.</w:t>
      </w:r>
      <w:proofErr w:type="gramEnd"/>
      <w:r w:rsidR="000C0110" w:rsidRPr="009B737B">
        <w:rPr>
          <w:lang w:val="en-US"/>
        </w:rPr>
        <w:t xml:space="preserve"> In: Michèle Knodt, Sigita Urdze (Ed.) Caucasus, the EU and Russia - Triangular Cooperation</w:t>
      </w:r>
      <w:proofErr w:type="gramStart"/>
      <w:r w:rsidR="000C0110" w:rsidRPr="009B737B">
        <w:rPr>
          <w:lang w:val="en-US"/>
        </w:rPr>
        <w:t>?,</w:t>
      </w:r>
      <w:proofErr w:type="gramEnd"/>
      <w:r w:rsidR="000C0110" w:rsidRPr="009B737B">
        <w:rPr>
          <w:lang w:val="en-US"/>
        </w:rPr>
        <w:t xml:space="preserve"> pp. 37-58.</w:t>
      </w:r>
    </w:p>
  </w:footnote>
  <w:footnote w:id="4">
    <w:p w:rsidR="00540969" w:rsidRPr="009B737B" w:rsidRDefault="00540969" w:rsidP="000747E1">
      <w:pPr>
        <w:pStyle w:val="a3"/>
        <w:spacing w:after="0" w:line="240" w:lineRule="auto"/>
        <w:jc w:val="both"/>
        <w:rPr>
          <w:lang w:val="ru-RU"/>
        </w:rPr>
      </w:pPr>
      <w:r w:rsidRPr="009B737B">
        <w:rPr>
          <w:rStyle w:val="a5"/>
        </w:rPr>
        <w:footnoteRef/>
      </w:r>
      <w:r w:rsidRPr="009B737B">
        <w:rPr>
          <w:lang w:val="ru-RU"/>
        </w:rPr>
        <w:t xml:space="preserve"> </w:t>
      </w:r>
      <w:bookmarkStart w:id="0" w:name="_GoBack"/>
      <w:bookmarkEnd w:id="0"/>
      <w:proofErr w:type="spellStart"/>
      <w:r w:rsidR="008C7621" w:rsidRPr="009B737B">
        <w:rPr>
          <w:lang w:val="ru-RU"/>
        </w:rPr>
        <w:t>Шогенов</w:t>
      </w:r>
      <w:proofErr w:type="spellEnd"/>
      <w:r w:rsidR="008C7621" w:rsidRPr="009B737B">
        <w:rPr>
          <w:lang w:val="ru-RU"/>
        </w:rPr>
        <w:t xml:space="preserve"> М.З., </w:t>
      </w:r>
      <w:proofErr w:type="spellStart"/>
      <w:r w:rsidR="008C7621" w:rsidRPr="009B737B">
        <w:rPr>
          <w:lang w:val="ru-RU"/>
        </w:rPr>
        <w:t>Гуня</w:t>
      </w:r>
      <w:proofErr w:type="spellEnd"/>
      <w:r w:rsidR="008C7621" w:rsidRPr="009B737B">
        <w:rPr>
          <w:lang w:val="ru-RU"/>
        </w:rPr>
        <w:t xml:space="preserve"> А.Н., </w:t>
      </w:r>
      <w:proofErr w:type="spellStart"/>
      <w:r w:rsidR="008C7621" w:rsidRPr="009B737B">
        <w:rPr>
          <w:lang w:val="ru-RU"/>
        </w:rPr>
        <w:t>Тенов</w:t>
      </w:r>
      <w:proofErr w:type="spellEnd"/>
      <w:r w:rsidR="008C7621" w:rsidRPr="009B737B">
        <w:rPr>
          <w:lang w:val="ru-RU"/>
        </w:rPr>
        <w:t xml:space="preserve"> Т.З., </w:t>
      </w:r>
      <w:proofErr w:type="gramStart"/>
      <w:r w:rsidR="008C7621" w:rsidRPr="009B737B">
        <w:rPr>
          <w:lang w:val="ru-RU"/>
        </w:rPr>
        <w:t>Чеченов</w:t>
      </w:r>
      <w:proofErr w:type="gramEnd"/>
      <w:r w:rsidR="008C7621" w:rsidRPr="009B737B">
        <w:rPr>
          <w:lang w:val="ru-RU"/>
        </w:rPr>
        <w:t xml:space="preserve"> А.М., </w:t>
      </w:r>
      <w:proofErr w:type="spellStart"/>
      <w:r w:rsidR="008C7621" w:rsidRPr="009B737B">
        <w:rPr>
          <w:lang w:val="ru-RU"/>
        </w:rPr>
        <w:t>Чемаев</w:t>
      </w:r>
      <w:proofErr w:type="spellEnd"/>
      <w:r w:rsidR="008C7621" w:rsidRPr="009B737B">
        <w:rPr>
          <w:lang w:val="ru-RU"/>
        </w:rPr>
        <w:t xml:space="preserve"> Н.А. Гражданское общество и социальная стабильность на Северном Кавказе: особенности методологического подхода к эмпирическому исследованию // </w:t>
      </w:r>
      <w:r w:rsidR="001035C4" w:rsidRPr="009B737B">
        <w:rPr>
          <w:lang w:val="ru-RU"/>
        </w:rPr>
        <w:t xml:space="preserve">Социально-гуманитарные знания. – М., 2016, №12-2. </w:t>
      </w:r>
      <w:r w:rsidR="009360C5" w:rsidRPr="009B737B">
        <w:rPr>
          <w:lang w:val="ru-RU"/>
        </w:rPr>
        <w:t xml:space="preserve">– </w:t>
      </w:r>
      <w:r w:rsidR="001035C4" w:rsidRPr="009B737B">
        <w:rPr>
          <w:lang w:val="ru-RU"/>
        </w:rPr>
        <w:t xml:space="preserve">С. 63-70.  </w:t>
      </w:r>
    </w:p>
  </w:footnote>
  <w:footnote w:id="5">
    <w:p w:rsidR="00BD0137" w:rsidRPr="009B737B" w:rsidRDefault="00BD0137" w:rsidP="000747E1">
      <w:pPr>
        <w:pStyle w:val="a3"/>
        <w:spacing w:after="0" w:line="240" w:lineRule="auto"/>
        <w:jc w:val="both"/>
        <w:rPr>
          <w:lang w:val="ru-RU"/>
        </w:rPr>
      </w:pPr>
      <w:r w:rsidRPr="009B737B">
        <w:rPr>
          <w:rStyle w:val="a5"/>
        </w:rPr>
        <w:footnoteRef/>
      </w:r>
      <w:r w:rsidRPr="009B737B">
        <w:rPr>
          <w:lang w:val="ru-RU"/>
        </w:rPr>
        <w:t xml:space="preserve"> </w:t>
      </w:r>
      <w:proofErr w:type="spellStart"/>
      <w:r w:rsidR="009360C5" w:rsidRPr="009B737B">
        <w:rPr>
          <w:lang w:val="ru-RU"/>
        </w:rPr>
        <w:t>Гуня</w:t>
      </w:r>
      <w:proofErr w:type="spellEnd"/>
      <w:r w:rsidR="009360C5" w:rsidRPr="009B737B">
        <w:rPr>
          <w:lang w:val="ru-RU"/>
        </w:rPr>
        <w:t xml:space="preserve"> А.Н., </w:t>
      </w:r>
      <w:proofErr w:type="spellStart"/>
      <w:r w:rsidR="009360C5" w:rsidRPr="009B737B">
        <w:rPr>
          <w:lang w:val="ru-RU"/>
        </w:rPr>
        <w:t>Тенов</w:t>
      </w:r>
      <w:proofErr w:type="spellEnd"/>
      <w:r w:rsidR="009360C5" w:rsidRPr="009B737B">
        <w:rPr>
          <w:lang w:val="ru-RU"/>
        </w:rPr>
        <w:t xml:space="preserve"> Т.З., </w:t>
      </w:r>
      <w:proofErr w:type="spellStart"/>
      <w:r w:rsidR="009360C5" w:rsidRPr="009B737B">
        <w:rPr>
          <w:lang w:val="ru-RU"/>
        </w:rPr>
        <w:t>Шогенов</w:t>
      </w:r>
      <w:proofErr w:type="spellEnd"/>
      <w:r w:rsidR="009360C5" w:rsidRPr="009B737B">
        <w:rPr>
          <w:lang w:val="ru-RU"/>
        </w:rPr>
        <w:t xml:space="preserve"> М.З., </w:t>
      </w:r>
      <w:proofErr w:type="gramStart"/>
      <w:r w:rsidR="009360C5" w:rsidRPr="009B737B">
        <w:rPr>
          <w:lang w:val="ru-RU"/>
        </w:rPr>
        <w:t>Чеченов</w:t>
      </w:r>
      <w:proofErr w:type="gramEnd"/>
      <w:r w:rsidR="009360C5" w:rsidRPr="009B737B">
        <w:rPr>
          <w:lang w:val="ru-RU"/>
        </w:rPr>
        <w:t xml:space="preserve"> А.М. Влияние различных стратегий управления на характер регулирования конфликтов и развития северокавказских республик // Научная мысль Кавказа. – Ростов-на-Дону., 2015, №3(83). – С. 89-94.</w:t>
      </w:r>
    </w:p>
  </w:footnote>
  <w:footnote w:id="6">
    <w:p w:rsidR="00912C8A" w:rsidRPr="009B737B" w:rsidRDefault="00912C8A" w:rsidP="00C33F8C">
      <w:pPr>
        <w:pStyle w:val="a3"/>
        <w:spacing w:after="0" w:line="240" w:lineRule="auto"/>
        <w:rPr>
          <w:lang w:val="ru-RU"/>
        </w:rPr>
      </w:pPr>
      <w:r w:rsidRPr="009B737B">
        <w:rPr>
          <w:rStyle w:val="a5"/>
        </w:rPr>
        <w:footnoteRef/>
      </w:r>
      <w:r w:rsidRPr="009B737B">
        <w:rPr>
          <w:lang w:val="ru-RU"/>
        </w:rPr>
        <w:t xml:space="preserve"> </w:t>
      </w:r>
      <w:r w:rsidR="00C33F8C" w:rsidRPr="009B737B">
        <w:rPr>
          <w:lang w:val="ru-RU"/>
        </w:rPr>
        <w:t>Результаты Всероссийской переписи населения</w:t>
      </w:r>
      <w:r w:rsidRPr="009B737B">
        <w:rPr>
          <w:lang w:val="ru-RU"/>
        </w:rPr>
        <w:t xml:space="preserve"> 2010</w:t>
      </w:r>
      <w:r w:rsidR="00C33F8C" w:rsidRPr="009B737B">
        <w:rPr>
          <w:lang w:val="ru-RU"/>
        </w:rPr>
        <w:t xml:space="preserve"> года</w:t>
      </w:r>
      <w:r w:rsidRPr="009B737B">
        <w:rPr>
          <w:lang w:val="ru-RU"/>
        </w:rPr>
        <w:t xml:space="preserve">. </w:t>
      </w:r>
      <w:r w:rsidR="00C33F8C" w:rsidRPr="009B737B">
        <w:rPr>
          <w:lang w:val="ru-RU"/>
        </w:rPr>
        <w:t>Официальный сайт Федеральной государственной службы статистики</w:t>
      </w:r>
      <w:r w:rsidRPr="009B737B">
        <w:rPr>
          <w:lang w:val="ru-RU"/>
        </w:rPr>
        <w:t xml:space="preserve">: </w:t>
      </w:r>
      <w:r w:rsidR="00EA48CD">
        <w:fldChar w:fldCharType="begin"/>
      </w:r>
      <w:r w:rsidR="00EA48CD">
        <w:instrText>HYPERLINK</w:instrText>
      </w:r>
      <w:r w:rsidR="00EA48CD" w:rsidRPr="00BF0D1C">
        <w:rPr>
          <w:lang w:val="ru-RU"/>
        </w:rPr>
        <w:instrText xml:space="preserve"> "</w:instrText>
      </w:r>
      <w:r w:rsidR="00EA48CD">
        <w:instrText>http</w:instrText>
      </w:r>
      <w:r w:rsidR="00EA48CD" w:rsidRPr="00BF0D1C">
        <w:rPr>
          <w:lang w:val="ru-RU"/>
        </w:rPr>
        <w:instrText>://</w:instrText>
      </w:r>
      <w:r w:rsidR="00EA48CD">
        <w:instrText>www</w:instrText>
      </w:r>
      <w:r w:rsidR="00EA48CD" w:rsidRPr="00BF0D1C">
        <w:rPr>
          <w:lang w:val="ru-RU"/>
        </w:rPr>
        <w:instrText>.</w:instrText>
      </w:r>
      <w:r w:rsidR="00EA48CD">
        <w:instrText>gks</w:instrText>
      </w:r>
      <w:r w:rsidR="00EA48CD" w:rsidRPr="00BF0D1C">
        <w:rPr>
          <w:lang w:val="ru-RU"/>
        </w:rPr>
        <w:instrText>.</w:instrText>
      </w:r>
      <w:r w:rsidR="00EA48CD">
        <w:instrText>ru</w:instrText>
      </w:r>
      <w:r w:rsidR="00EA48CD" w:rsidRPr="00BF0D1C">
        <w:rPr>
          <w:lang w:val="ru-RU"/>
        </w:rPr>
        <w:instrText>/</w:instrText>
      </w:r>
      <w:r w:rsidR="00EA48CD">
        <w:instrText>free</w:instrText>
      </w:r>
      <w:r w:rsidR="00EA48CD" w:rsidRPr="00BF0D1C">
        <w:rPr>
          <w:lang w:val="ru-RU"/>
        </w:rPr>
        <w:instrText>_</w:instrText>
      </w:r>
      <w:r w:rsidR="00EA48CD">
        <w:instrText>doc</w:instrText>
      </w:r>
      <w:r w:rsidR="00EA48CD" w:rsidRPr="00BF0D1C">
        <w:rPr>
          <w:lang w:val="ru-RU"/>
        </w:rPr>
        <w:instrText>/</w:instrText>
      </w:r>
      <w:r w:rsidR="00EA48CD">
        <w:instrText>new</w:instrText>
      </w:r>
      <w:r w:rsidR="00EA48CD" w:rsidRPr="00BF0D1C">
        <w:rPr>
          <w:lang w:val="ru-RU"/>
        </w:rPr>
        <w:instrText>_</w:instrText>
      </w:r>
      <w:r w:rsidR="00EA48CD">
        <w:instrText>site</w:instrText>
      </w:r>
      <w:r w:rsidR="00EA48CD" w:rsidRPr="00BF0D1C">
        <w:rPr>
          <w:lang w:val="ru-RU"/>
        </w:rPr>
        <w:instrText>/</w:instrText>
      </w:r>
      <w:r w:rsidR="00EA48CD">
        <w:instrText>perepis</w:instrText>
      </w:r>
      <w:r w:rsidR="00EA48CD" w:rsidRPr="00BF0D1C">
        <w:rPr>
          <w:lang w:val="ru-RU"/>
        </w:rPr>
        <w:instrText>2010/</w:instrText>
      </w:r>
      <w:r w:rsidR="00EA48CD">
        <w:instrText>croc</w:instrText>
      </w:r>
      <w:r w:rsidR="00EA48CD" w:rsidRPr="00BF0D1C">
        <w:rPr>
          <w:lang w:val="ru-RU"/>
        </w:rPr>
        <w:instrText>/</w:instrText>
      </w:r>
      <w:r w:rsidR="00EA48CD">
        <w:instrText>perepis</w:instrText>
      </w:r>
      <w:r w:rsidR="00EA48CD" w:rsidRPr="00BF0D1C">
        <w:rPr>
          <w:lang w:val="ru-RU"/>
        </w:rPr>
        <w:instrText>_</w:instrText>
      </w:r>
      <w:r w:rsidR="00EA48CD">
        <w:instrText>itogi</w:instrText>
      </w:r>
      <w:r w:rsidR="00EA48CD" w:rsidRPr="00BF0D1C">
        <w:rPr>
          <w:lang w:val="ru-RU"/>
        </w:rPr>
        <w:instrText>1612.</w:instrText>
      </w:r>
      <w:r w:rsidR="00EA48CD">
        <w:instrText>htm</w:instrText>
      </w:r>
      <w:r w:rsidR="00EA48CD" w:rsidRPr="00BF0D1C">
        <w:rPr>
          <w:lang w:val="ru-RU"/>
        </w:rPr>
        <w:instrText>"</w:instrText>
      </w:r>
      <w:r w:rsidR="00EA48CD">
        <w:fldChar w:fldCharType="separate"/>
      </w:r>
      <w:r w:rsidRPr="009B737B">
        <w:rPr>
          <w:rStyle w:val="a6"/>
          <w:lang w:val="en-US"/>
        </w:rPr>
        <w:t>http</w:t>
      </w:r>
      <w:r w:rsidRPr="009B737B">
        <w:rPr>
          <w:rStyle w:val="a6"/>
          <w:lang w:val="ru-RU"/>
        </w:rPr>
        <w:t>://</w:t>
      </w:r>
      <w:r w:rsidRPr="009B737B">
        <w:rPr>
          <w:rStyle w:val="a6"/>
          <w:lang w:val="en-US"/>
        </w:rPr>
        <w:t>www</w:t>
      </w:r>
      <w:r w:rsidRPr="009B737B">
        <w:rPr>
          <w:rStyle w:val="a6"/>
          <w:lang w:val="ru-RU"/>
        </w:rPr>
        <w:t>.</w:t>
      </w:r>
      <w:proofErr w:type="spellStart"/>
      <w:r w:rsidRPr="009B737B">
        <w:rPr>
          <w:rStyle w:val="a6"/>
          <w:lang w:val="en-US"/>
        </w:rPr>
        <w:t>gks</w:t>
      </w:r>
      <w:proofErr w:type="spellEnd"/>
      <w:r w:rsidRPr="009B737B">
        <w:rPr>
          <w:rStyle w:val="a6"/>
          <w:lang w:val="ru-RU"/>
        </w:rPr>
        <w:t>.</w:t>
      </w:r>
      <w:proofErr w:type="spellStart"/>
      <w:r w:rsidRPr="009B737B">
        <w:rPr>
          <w:rStyle w:val="a6"/>
          <w:lang w:val="en-US"/>
        </w:rPr>
        <w:t>ru</w:t>
      </w:r>
      <w:proofErr w:type="spellEnd"/>
      <w:r w:rsidRPr="009B737B">
        <w:rPr>
          <w:rStyle w:val="a6"/>
          <w:lang w:val="ru-RU"/>
        </w:rPr>
        <w:t>/</w:t>
      </w:r>
      <w:r w:rsidRPr="009B737B">
        <w:rPr>
          <w:rStyle w:val="a6"/>
          <w:lang w:val="en-US"/>
        </w:rPr>
        <w:t>free</w:t>
      </w:r>
      <w:r w:rsidRPr="009B737B">
        <w:rPr>
          <w:rStyle w:val="a6"/>
          <w:lang w:val="ru-RU"/>
        </w:rPr>
        <w:t>_</w:t>
      </w:r>
      <w:r w:rsidRPr="009B737B">
        <w:rPr>
          <w:rStyle w:val="a6"/>
          <w:lang w:val="en-US"/>
        </w:rPr>
        <w:t>doc</w:t>
      </w:r>
      <w:r w:rsidRPr="009B737B">
        <w:rPr>
          <w:rStyle w:val="a6"/>
          <w:lang w:val="ru-RU"/>
        </w:rPr>
        <w:t>/</w:t>
      </w:r>
      <w:r w:rsidRPr="009B737B">
        <w:rPr>
          <w:rStyle w:val="a6"/>
          <w:lang w:val="en-US"/>
        </w:rPr>
        <w:t>new</w:t>
      </w:r>
      <w:r w:rsidRPr="009B737B">
        <w:rPr>
          <w:rStyle w:val="a6"/>
          <w:lang w:val="ru-RU"/>
        </w:rPr>
        <w:t>_</w:t>
      </w:r>
      <w:r w:rsidRPr="009B737B">
        <w:rPr>
          <w:rStyle w:val="a6"/>
          <w:lang w:val="en-US"/>
        </w:rPr>
        <w:t>site</w:t>
      </w:r>
      <w:r w:rsidRPr="009B737B">
        <w:rPr>
          <w:rStyle w:val="a6"/>
          <w:lang w:val="ru-RU"/>
        </w:rPr>
        <w:t>/</w:t>
      </w:r>
      <w:proofErr w:type="spellStart"/>
      <w:r w:rsidRPr="009B737B">
        <w:rPr>
          <w:rStyle w:val="a6"/>
          <w:lang w:val="en-US"/>
        </w:rPr>
        <w:t>perepis</w:t>
      </w:r>
      <w:proofErr w:type="spellEnd"/>
      <w:r w:rsidRPr="009B737B">
        <w:rPr>
          <w:rStyle w:val="a6"/>
          <w:lang w:val="ru-RU"/>
        </w:rPr>
        <w:t>2010/</w:t>
      </w:r>
      <w:r w:rsidRPr="009B737B">
        <w:rPr>
          <w:rStyle w:val="a6"/>
          <w:lang w:val="en-US"/>
        </w:rPr>
        <w:t>croc</w:t>
      </w:r>
      <w:r w:rsidRPr="009B737B">
        <w:rPr>
          <w:rStyle w:val="a6"/>
          <w:lang w:val="ru-RU"/>
        </w:rPr>
        <w:t>/</w:t>
      </w:r>
      <w:proofErr w:type="spellStart"/>
      <w:r w:rsidRPr="009B737B">
        <w:rPr>
          <w:rStyle w:val="a6"/>
          <w:lang w:val="en-US"/>
        </w:rPr>
        <w:t>perepis</w:t>
      </w:r>
      <w:proofErr w:type="spellEnd"/>
      <w:r w:rsidRPr="009B737B">
        <w:rPr>
          <w:rStyle w:val="a6"/>
          <w:lang w:val="ru-RU"/>
        </w:rPr>
        <w:t>_</w:t>
      </w:r>
      <w:proofErr w:type="spellStart"/>
      <w:r w:rsidRPr="009B737B">
        <w:rPr>
          <w:rStyle w:val="a6"/>
          <w:lang w:val="en-US"/>
        </w:rPr>
        <w:t>itogi</w:t>
      </w:r>
      <w:proofErr w:type="spellEnd"/>
      <w:r w:rsidRPr="009B737B">
        <w:rPr>
          <w:rStyle w:val="a6"/>
          <w:lang w:val="ru-RU"/>
        </w:rPr>
        <w:t>1612.</w:t>
      </w:r>
      <w:proofErr w:type="spellStart"/>
      <w:r w:rsidRPr="009B737B">
        <w:rPr>
          <w:rStyle w:val="a6"/>
          <w:lang w:val="en-US"/>
        </w:rPr>
        <w:t>htm</w:t>
      </w:r>
      <w:proofErr w:type="spellEnd"/>
      <w:r w:rsidR="00EA48CD">
        <w:fldChar w:fldCharType="end"/>
      </w:r>
    </w:p>
  </w:footnote>
  <w:footnote w:id="7">
    <w:p w:rsidR="00D21582" w:rsidRPr="009B737B" w:rsidRDefault="00D21582" w:rsidP="000747E1">
      <w:pPr>
        <w:pStyle w:val="a3"/>
        <w:spacing w:after="0" w:line="240" w:lineRule="auto"/>
        <w:jc w:val="both"/>
        <w:rPr>
          <w:lang w:val="ru-RU"/>
        </w:rPr>
      </w:pPr>
      <w:r w:rsidRPr="009B737B">
        <w:rPr>
          <w:rStyle w:val="a5"/>
        </w:rPr>
        <w:footnoteRef/>
      </w:r>
      <w:r w:rsidR="00364922" w:rsidRPr="008B423B">
        <w:rPr>
          <w:lang w:val="de-DE"/>
        </w:rPr>
        <w:t xml:space="preserve"> </w:t>
      </w:r>
      <w:r w:rsidR="00CA3FE6" w:rsidRPr="008B423B">
        <w:rPr>
          <w:lang w:val="de-DE"/>
        </w:rPr>
        <w:t xml:space="preserve">Hoffmann, K., Lehmkuhl, D. et al (2016). </w:t>
      </w:r>
      <w:proofErr w:type="gramStart"/>
      <w:r w:rsidR="00CA3FE6" w:rsidRPr="009B737B">
        <w:rPr>
          <w:lang w:val="en-US"/>
        </w:rPr>
        <w:t>Trust and Civic Participation.</w:t>
      </w:r>
      <w:proofErr w:type="gramEnd"/>
      <w:r w:rsidR="00CA3FE6" w:rsidRPr="009B737B">
        <w:rPr>
          <w:lang w:val="en-US"/>
        </w:rPr>
        <w:t xml:space="preserve"> </w:t>
      </w:r>
      <w:proofErr w:type="gramStart"/>
      <w:r w:rsidR="00CA3FE6" w:rsidRPr="009B737B">
        <w:rPr>
          <w:lang w:val="en-US"/>
        </w:rPr>
        <w:t>Survey Data from the Caucasus.</w:t>
      </w:r>
      <w:proofErr w:type="gramEnd"/>
      <w:r w:rsidR="00CA3FE6" w:rsidRPr="009B737B">
        <w:rPr>
          <w:lang w:val="en-US"/>
        </w:rPr>
        <w:t xml:space="preserve"> ISSICEU</w:t>
      </w:r>
      <w:r w:rsidR="00CA3FE6" w:rsidRPr="009B737B">
        <w:rPr>
          <w:lang w:val="ru-RU"/>
        </w:rPr>
        <w:t xml:space="preserve"> </w:t>
      </w:r>
      <w:r w:rsidR="00CA3FE6" w:rsidRPr="009B737B">
        <w:rPr>
          <w:lang w:val="en-US"/>
        </w:rPr>
        <w:t>Working</w:t>
      </w:r>
      <w:r w:rsidR="00CA3FE6" w:rsidRPr="009B737B">
        <w:rPr>
          <w:lang w:val="ru-RU"/>
        </w:rPr>
        <w:t xml:space="preserve"> </w:t>
      </w:r>
      <w:r w:rsidR="00CA3FE6" w:rsidRPr="009B737B">
        <w:rPr>
          <w:lang w:val="en-US"/>
        </w:rPr>
        <w:t>Paper</w:t>
      </w:r>
      <w:r w:rsidR="00CA3FE6" w:rsidRPr="009B737B">
        <w:rPr>
          <w:lang w:val="ru-RU"/>
        </w:rPr>
        <w:t xml:space="preserve">, </w:t>
      </w:r>
      <w:r w:rsidR="00CA3FE6" w:rsidRPr="009B737B">
        <w:rPr>
          <w:lang w:val="en-US"/>
        </w:rPr>
        <w:t>University</w:t>
      </w:r>
      <w:r w:rsidR="00CA3FE6" w:rsidRPr="009B737B">
        <w:rPr>
          <w:lang w:val="ru-RU"/>
        </w:rPr>
        <w:t xml:space="preserve"> </w:t>
      </w:r>
      <w:r w:rsidR="00CA3FE6" w:rsidRPr="009B737B">
        <w:rPr>
          <w:lang w:val="en-US"/>
        </w:rPr>
        <w:t>of</w:t>
      </w:r>
      <w:r w:rsidR="00CA3FE6" w:rsidRPr="009B737B">
        <w:rPr>
          <w:lang w:val="ru-RU"/>
        </w:rPr>
        <w:t xml:space="preserve"> </w:t>
      </w:r>
      <w:r w:rsidR="00CA3FE6" w:rsidRPr="009B737B">
        <w:rPr>
          <w:lang w:val="en-US"/>
        </w:rPr>
        <w:t>St</w:t>
      </w:r>
      <w:r w:rsidR="00CA3FE6" w:rsidRPr="009B737B">
        <w:rPr>
          <w:lang w:val="ru-RU"/>
        </w:rPr>
        <w:t xml:space="preserve">. </w:t>
      </w:r>
      <w:proofErr w:type="spellStart"/>
      <w:r w:rsidR="00CA3FE6" w:rsidRPr="009B737B">
        <w:rPr>
          <w:lang w:val="en-US"/>
        </w:rPr>
        <w:t>Gallen</w:t>
      </w:r>
      <w:proofErr w:type="spellEnd"/>
      <w:r w:rsidR="00CA3FE6" w:rsidRPr="009B737B">
        <w:rPr>
          <w:lang w:val="ru-RU"/>
        </w:rPr>
        <w:t xml:space="preserve"> (</w:t>
      </w:r>
      <w:r w:rsidR="00C33F8C" w:rsidRPr="009B737B">
        <w:rPr>
          <w:lang w:val="ru-RU"/>
        </w:rPr>
        <w:t>в печати</w:t>
      </w:r>
      <w:r w:rsidR="00CA3FE6" w:rsidRPr="009B737B">
        <w:rPr>
          <w:lang w:val="ru-RU"/>
        </w:rPr>
        <w:t>)</w:t>
      </w:r>
      <w:r w:rsidR="00C33F8C" w:rsidRPr="009B737B">
        <w:rPr>
          <w:lang w:val="ru-RU"/>
        </w:rPr>
        <w:t>.</w:t>
      </w:r>
    </w:p>
  </w:footnote>
  <w:footnote w:id="8">
    <w:p w:rsidR="00A74422" w:rsidRPr="009B737B" w:rsidRDefault="00A74422" w:rsidP="000747E1">
      <w:pPr>
        <w:pStyle w:val="a3"/>
        <w:spacing w:after="0" w:line="240" w:lineRule="auto"/>
        <w:jc w:val="both"/>
        <w:rPr>
          <w:lang w:val="ru-RU"/>
        </w:rPr>
      </w:pPr>
      <w:r w:rsidRPr="009B737B">
        <w:rPr>
          <w:rStyle w:val="a5"/>
        </w:rPr>
        <w:footnoteRef/>
      </w:r>
      <w:r w:rsidRPr="009B737B">
        <w:rPr>
          <w:lang w:val="ru-RU"/>
        </w:rPr>
        <w:t xml:space="preserve"> </w:t>
      </w:r>
      <w:r w:rsidR="006F348E" w:rsidRPr="009B737B">
        <w:rPr>
          <w:lang w:val="ru-RU"/>
        </w:rPr>
        <w:t>«</w:t>
      </w:r>
      <w:r w:rsidR="00C83D16" w:rsidRPr="009B737B">
        <w:rPr>
          <w:lang w:val="ru-RU"/>
        </w:rPr>
        <w:t xml:space="preserve">От понимания локальных конфликтов к использованию шансов развития: введение учебных модулей </w:t>
      </w:r>
      <w:r w:rsidR="006F348E" w:rsidRPr="009B737B">
        <w:rPr>
          <w:lang w:val="ru-RU"/>
        </w:rPr>
        <w:t>по исследованию конфликтов в университеты Северного Кавказа и Средней Азии»</w:t>
      </w:r>
      <w:r w:rsidR="00364922" w:rsidRPr="009B737B">
        <w:rPr>
          <w:lang w:val="ru-RU"/>
        </w:rPr>
        <w:t xml:space="preserve"> </w:t>
      </w:r>
      <w:r w:rsidR="00EA48CD">
        <w:fldChar w:fldCharType="begin"/>
      </w:r>
      <w:r w:rsidR="00EA48CD">
        <w:instrText>HYPERLINK</w:instrText>
      </w:r>
      <w:r w:rsidR="00EA48CD" w:rsidRPr="00BF0D1C">
        <w:rPr>
          <w:lang w:val="ru-RU"/>
        </w:rPr>
        <w:instrText xml:space="preserve"> "</w:instrText>
      </w:r>
      <w:r w:rsidR="00EA48CD">
        <w:instrText>http</w:instrText>
      </w:r>
      <w:r w:rsidR="00EA48CD" w:rsidRPr="00BF0D1C">
        <w:rPr>
          <w:lang w:val="ru-RU"/>
        </w:rPr>
        <w:instrText>://</w:instrText>
      </w:r>
      <w:r w:rsidR="00EA48CD">
        <w:instrText>conflict</w:instrText>
      </w:r>
      <w:r w:rsidR="00EA48CD" w:rsidRPr="00BF0D1C">
        <w:rPr>
          <w:lang w:val="ru-RU"/>
        </w:rPr>
        <w:instrText>-</w:instrText>
      </w:r>
      <w:r w:rsidR="00EA48CD">
        <w:instrText>development</w:instrText>
      </w:r>
      <w:r w:rsidR="00EA48CD" w:rsidRPr="00BF0D1C">
        <w:rPr>
          <w:lang w:val="ru-RU"/>
        </w:rPr>
        <w:instrText>.</w:instrText>
      </w:r>
      <w:r w:rsidR="00EA48CD">
        <w:instrText>com</w:instrText>
      </w:r>
      <w:r w:rsidR="00EA48CD" w:rsidRPr="00BF0D1C">
        <w:rPr>
          <w:lang w:val="ru-RU"/>
        </w:rPr>
        <w:instrText>"</w:instrText>
      </w:r>
      <w:r w:rsidR="00EA48CD">
        <w:fldChar w:fldCharType="separate"/>
      </w:r>
      <w:r w:rsidR="00364922" w:rsidRPr="009B737B">
        <w:rPr>
          <w:rStyle w:val="a6"/>
          <w:lang w:val="en-US"/>
        </w:rPr>
        <w:t>http</w:t>
      </w:r>
      <w:r w:rsidR="00364922" w:rsidRPr="009B737B">
        <w:rPr>
          <w:rStyle w:val="a6"/>
          <w:lang w:val="ru-RU"/>
        </w:rPr>
        <w:t>://</w:t>
      </w:r>
      <w:r w:rsidR="00364922" w:rsidRPr="009B737B">
        <w:rPr>
          <w:rStyle w:val="a6"/>
          <w:lang w:val="en-US"/>
        </w:rPr>
        <w:t>conflict</w:t>
      </w:r>
      <w:r w:rsidR="00364922" w:rsidRPr="009B737B">
        <w:rPr>
          <w:rStyle w:val="a6"/>
          <w:lang w:val="ru-RU"/>
        </w:rPr>
        <w:t>-</w:t>
      </w:r>
      <w:r w:rsidR="00364922" w:rsidRPr="009B737B">
        <w:rPr>
          <w:rStyle w:val="a6"/>
          <w:lang w:val="en-US"/>
        </w:rPr>
        <w:t>development</w:t>
      </w:r>
      <w:r w:rsidR="00364922" w:rsidRPr="009B737B">
        <w:rPr>
          <w:rStyle w:val="a6"/>
          <w:lang w:val="ru-RU"/>
        </w:rPr>
        <w:t>.</w:t>
      </w:r>
      <w:r w:rsidR="00364922" w:rsidRPr="009B737B">
        <w:rPr>
          <w:rStyle w:val="a6"/>
          <w:lang w:val="en-US"/>
        </w:rPr>
        <w:t>com</w:t>
      </w:r>
      <w:r w:rsidR="00EA48CD">
        <w:fldChar w:fldCharType="end"/>
      </w:r>
      <w:r w:rsidR="00364922" w:rsidRPr="009B737B">
        <w:rPr>
          <w:lang w:val="ru-RU"/>
        </w:rPr>
        <w:t xml:space="preserve">; </w:t>
      </w:r>
      <w:r w:rsidR="006F348E" w:rsidRPr="009B737B">
        <w:rPr>
          <w:lang w:val="ru-RU"/>
        </w:rPr>
        <w:t>«Государственное строительство</w:t>
      </w:r>
      <w:r w:rsidR="00364922" w:rsidRPr="009B737B">
        <w:rPr>
          <w:lang w:val="ru-RU"/>
        </w:rPr>
        <w:t xml:space="preserve">, </w:t>
      </w:r>
      <w:r w:rsidR="006F348E" w:rsidRPr="009B737B">
        <w:rPr>
          <w:lang w:val="ru-RU"/>
        </w:rPr>
        <w:t>стабильность и насильственный конфликт</w:t>
      </w:r>
      <w:r w:rsidR="00364922" w:rsidRPr="009B737B">
        <w:rPr>
          <w:lang w:val="ru-RU"/>
        </w:rPr>
        <w:t xml:space="preserve">. </w:t>
      </w:r>
      <w:r w:rsidR="006F348E" w:rsidRPr="009B737B">
        <w:rPr>
          <w:lang w:val="ru-RU"/>
        </w:rPr>
        <w:t xml:space="preserve">Институциональные рамки в переходных обществах Кавказа и Средней Азии </w:t>
      </w:r>
      <w:r w:rsidR="00EA48CD">
        <w:fldChar w:fldCharType="begin"/>
      </w:r>
      <w:r w:rsidR="00EA48CD">
        <w:instrText>HYPERLINK</w:instrText>
      </w:r>
      <w:r w:rsidR="00EA48CD" w:rsidRPr="00BF0D1C">
        <w:rPr>
          <w:lang w:val="ru-RU"/>
        </w:rPr>
        <w:instrText xml:space="preserve"> "</w:instrText>
      </w:r>
      <w:r w:rsidR="00EA48CD">
        <w:instrText>http</w:instrText>
      </w:r>
      <w:r w:rsidR="00EA48CD" w:rsidRPr="00BF0D1C">
        <w:rPr>
          <w:lang w:val="ru-RU"/>
        </w:rPr>
        <w:instrText>://</w:instrText>
      </w:r>
      <w:r w:rsidR="00EA48CD">
        <w:instrText>www</w:instrText>
      </w:r>
      <w:r w:rsidR="00EA48CD" w:rsidRPr="00BF0D1C">
        <w:rPr>
          <w:lang w:val="ru-RU"/>
        </w:rPr>
        <w:instrText>.</w:instrText>
      </w:r>
      <w:r w:rsidR="00EA48CD">
        <w:instrText>oei</w:instrText>
      </w:r>
      <w:r w:rsidR="00EA48CD" w:rsidRPr="00BF0D1C">
        <w:rPr>
          <w:lang w:val="ru-RU"/>
        </w:rPr>
        <w:instrText>.</w:instrText>
      </w:r>
      <w:r w:rsidR="00EA48CD">
        <w:instrText>fu</w:instrText>
      </w:r>
      <w:r w:rsidR="00EA48CD" w:rsidRPr="00BF0D1C">
        <w:rPr>
          <w:lang w:val="ru-RU"/>
        </w:rPr>
        <w:instrText>_</w:instrText>
      </w:r>
      <w:r w:rsidR="00EA48CD">
        <w:instrText>berlin</w:instrText>
      </w:r>
      <w:r w:rsidR="00EA48CD" w:rsidRPr="00BF0D1C">
        <w:rPr>
          <w:lang w:val="ru-RU"/>
        </w:rPr>
        <w:instrText>.</w:instrText>
      </w:r>
      <w:r w:rsidR="00EA48CD">
        <w:instrText>de</w:instrText>
      </w:r>
      <w:r w:rsidR="00EA48CD" w:rsidRPr="00BF0D1C">
        <w:rPr>
          <w:lang w:val="ru-RU"/>
        </w:rPr>
        <w:instrText>/</w:instrText>
      </w:r>
      <w:r w:rsidR="00EA48CD">
        <w:instrText>cscca</w:instrText>
      </w:r>
      <w:r w:rsidR="00EA48CD" w:rsidRPr="00BF0D1C">
        <w:rPr>
          <w:lang w:val="ru-RU"/>
        </w:rPr>
        <w:instrText>"</w:instrText>
      </w:r>
      <w:r w:rsidR="00EA48CD">
        <w:fldChar w:fldCharType="separate"/>
      </w:r>
      <w:r w:rsidR="00364922" w:rsidRPr="009B737B">
        <w:rPr>
          <w:rStyle w:val="a6"/>
          <w:rFonts w:cs="NewtonC"/>
          <w:lang w:val="en-US"/>
        </w:rPr>
        <w:t>http</w:t>
      </w:r>
      <w:r w:rsidR="00364922" w:rsidRPr="009B737B">
        <w:rPr>
          <w:rStyle w:val="a6"/>
          <w:rFonts w:cs="NewtonC"/>
          <w:lang w:val="ru-RU"/>
        </w:rPr>
        <w:t>://</w:t>
      </w:r>
      <w:r w:rsidR="00364922" w:rsidRPr="009B737B">
        <w:rPr>
          <w:rStyle w:val="a6"/>
          <w:rFonts w:cs="NewtonC"/>
          <w:lang w:val="en-US"/>
        </w:rPr>
        <w:t>www</w:t>
      </w:r>
      <w:r w:rsidR="00364922" w:rsidRPr="009B737B">
        <w:rPr>
          <w:rStyle w:val="a6"/>
          <w:rFonts w:cs="NewtonC"/>
          <w:lang w:val="ru-RU"/>
        </w:rPr>
        <w:t>.</w:t>
      </w:r>
      <w:proofErr w:type="spellStart"/>
      <w:r w:rsidR="00364922" w:rsidRPr="009B737B">
        <w:rPr>
          <w:rStyle w:val="a6"/>
          <w:rFonts w:cs="NewtonC"/>
          <w:lang w:val="en-US"/>
        </w:rPr>
        <w:t>oei</w:t>
      </w:r>
      <w:proofErr w:type="spellEnd"/>
      <w:r w:rsidR="00364922" w:rsidRPr="009B737B">
        <w:rPr>
          <w:rStyle w:val="a6"/>
          <w:rFonts w:cs="NewtonC"/>
          <w:lang w:val="ru-RU"/>
        </w:rPr>
        <w:t>.</w:t>
      </w:r>
      <w:r w:rsidR="00364922" w:rsidRPr="009B737B">
        <w:rPr>
          <w:rStyle w:val="a6"/>
          <w:rFonts w:cs="NewtonC"/>
          <w:lang w:val="en-US"/>
        </w:rPr>
        <w:t>fu</w:t>
      </w:r>
      <w:r w:rsidR="00364922" w:rsidRPr="009B737B">
        <w:rPr>
          <w:rStyle w:val="a6"/>
          <w:rFonts w:cs="NewtonC"/>
          <w:lang w:val="ru-RU"/>
        </w:rPr>
        <w:t>_</w:t>
      </w:r>
      <w:proofErr w:type="spellStart"/>
      <w:r w:rsidR="00364922" w:rsidRPr="009B737B">
        <w:rPr>
          <w:rStyle w:val="a6"/>
          <w:rFonts w:cs="NewtonC"/>
          <w:lang w:val="en-US"/>
        </w:rPr>
        <w:t>berlin</w:t>
      </w:r>
      <w:proofErr w:type="spellEnd"/>
      <w:r w:rsidR="00364922" w:rsidRPr="009B737B">
        <w:rPr>
          <w:rStyle w:val="a6"/>
          <w:rFonts w:cs="NewtonC"/>
          <w:lang w:val="ru-RU"/>
        </w:rPr>
        <w:t>.</w:t>
      </w:r>
      <w:r w:rsidR="00364922" w:rsidRPr="009B737B">
        <w:rPr>
          <w:rStyle w:val="a6"/>
          <w:rFonts w:cs="NewtonC"/>
          <w:lang w:val="en-US"/>
        </w:rPr>
        <w:t>de</w:t>
      </w:r>
      <w:r w:rsidR="00364922" w:rsidRPr="009B737B">
        <w:rPr>
          <w:rStyle w:val="a6"/>
          <w:rFonts w:cs="NewtonC"/>
          <w:lang w:val="ru-RU"/>
        </w:rPr>
        <w:t>/</w:t>
      </w:r>
      <w:proofErr w:type="spellStart"/>
      <w:r w:rsidR="00364922" w:rsidRPr="009B737B">
        <w:rPr>
          <w:rStyle w:val="a6"/>
          <w:rFonts w:cs="NewtonC"/>
          <w:lang w:val="en-US"/>
        </w:rPr>
        <w:t>cscca</w:t>
      </w:r>
      <w:proofErr w:type="spellEnd"/>
      <w:r w:rsidR="00EA48CD">
        <w:fldChar w:fldCharType="end"/>
      </w:r>
    </w:p>
  </w:footnote>
  <w:footnote w:id="9">
    <w:p w:rsidR="001236F6" w:rsidRPr="009B737B" w:rsidRDefault="001236F6" w:rsidP="000747E1">
      <w:pPr>
        <w:pStyle w:val="a3"/>
        <w:spacing w:after="0" w:line="240" w:lineRule="auto"/>
        <w:jc w:val="both"/>
        <w:rPr>
          <w:lang w:val="ru-RU"/>
        </w:rPr>
      </w:pPr>
      <w:r w:rsidRPr="009B737B">
        <w:rPr>
          <w:rStyle w:val="a5"/>
        </w:rPr>
        <w:footnoteRef/>
      </w:r>
      <w:r w:rsidRPr="009B737B">
        <w:rPr>
          <w:lang w:val="ru-RU"/>
        </w:rPr>
        <w:t xml:space="preserve"> </w:t>
      </w:r>
      <w:r w:rsidR="00851FF6" w:rsidRPr="008B423B">
        <w:rPr>
          <w:bCs/>
          <w:lang w:val="ru-RU"/>
        </w:rPr>
        <w:t>Шогенов М.З., Мамхегова Л., Когатыжев Ш. История вместо закона: компенсация легитимности историческими интерпретациями в ресурсных конфликтах (на примере Кабардино-Балкарской республики)  // От понимания локальных конфликтов к использованию шансов развития. Сборник научных трудов. Выпуск 2. Под ред. Яна Кёлера, Алексея и Гуни, Мурата Шогенова. – Берлин-Нальчик: Каб</w:t>
      </w:r>
      <w:proofErr w:type="gramStart"/>
      <w:r w:rsidR="00851FF6" w:rsidRPr="008B423B">
        <w:rPr>
          <w:bCs/>
          <w:lang w:val="ru-RU"/>
        </w:rPr>
        <w:t>.-</w:t>
      </w:r>
      <w:proofErr w:type="gramEnd"/>
      <w:r w:rsidR="00851FF6" w:rsidRPr="008B423B">
        <w:rPr>
          <w:bCs/>
          <w:lang w:val="ru-RU"/>
        </w:rPr>
        <w:t>Балк. ун-т, 2014. – С. 114-149.</w:t>
      </w:r>
    </w:p>
  </w:footnote>
  <w:footnote w:id="10">
    <w:p w:rsidR="00F51F46" w:rsidRPr="009B737B" w:rsidRDefault="00F51F46" w:rsidP="000747E1">
      <w:pPr>
        <w:shd w:val="clear" w:color="auto" w:fill="FFFFFF"/>
        <w:spacing w:after="0" w:line="240" w:lineRule="auto"/>
        <w:jc w:val="both"/>
        <w:rPr>
          <w:sz w:val="20"/>
          <w:szCs w:val="20"/>
          <w:lang w:val="ru-RU"/>
        </w:rPr>
      </w:pPr>
      <w:r w:rsidRPr="009B737B">
        <w:rPr>
          <w:rStyle w:val="a5"/>
          <w:sz w:val="20"/>
          <w:szCs w:val="20"/>
        </w:rPr>
        <w:footnoteRef/>
      </w:r>
      <w:r w:rsidRPr="009B737B">
        <w:rPr>
          <w:sz w:val="20"/>
          <w:szCs w:val="20"/>
          <w:lang w:val="ru-RU"/>
        </w:rPr>
        <w:t xml:space="preserve"> </w:t>
      </w:r>
      <w:r w:rsidR="00851FF6" w:rsidRPr="009B737B">
        <w:rPr>
          <w:sz w:val="20"/>
          <w:szCs w:val="20"/>
          <w:lang w:val="ru-RU"/>
        </w:rPr>
        <w:t>На рисунке представлен</w:t>
      </w:r>
      <w:r w:rsidR="000747E1" w:rsidRPr="009B737B">
        <w:rPr>
          <w:sz w:val="20"/>
          <w:szCs w:val="20"/>
          <w:lang w:val="ru-RU"/>
        </w:rPr>
        <w:t>а</w:t>
      </w:r>
      <w:r w:rsidR="00851FF6" w:rsidRPr="009B737B">
        <w:rPr>
          <w:sz w:val="20"/>
          <w:szCs w:val="20"/>
          <w:lang w:val="ru-RU"/>
        </w:rPr>
        <w:t xml:space="preserve"> сумма ответов для следующих типов НПО: </w:t>
      </w:r>
      <w:r w:rsidR="000747E1" w:rsidRPr="009B737B">
        <w:rPr>
          <w:sz w:val="20"/>
          <w:szCs w:val="20"/>
          <w:lang w:val="ru-RU"/>
        </w:rPr>
        <w:t xml:space="preserve">церковь или религиозная организация, спортивная или рекреационная организации, организация в сфере культуры или образования, профсоюз политическая партия, экологическая организация, профессиональная ассоциация, гуманитарная или благотворительная организация, общество потребителей, группа взаимопомощи и другие организация. </w:t>
      </w:r>
    </w:p>
  </w:footnote>
  <w:footnote w:id="11">
    <w:p w:rsidR="00B867CC" w:rsidRPr="009B737B" w:rsidRDefault="00B867CC" w:rsidP="000747E1">
      <w:pPr>
        <w:pStyle w:val="a3"/>
        <w:spacing w:after="0" w:line="240" w:lineRule="auto"/>
        <w:jc w:val="both"/>
        <w:rPr>
          <w:lang w:val="ru-RU"/>
        </w:rPr>
      </w:pPr>
      <w:r w:rsidRPr="009B737B">
        <w:rPr>
          <w:rStyle w:val="a5"/>
        </w:rPr>
        <w:footnoteRef/>
      </w:r>
      <w:r w:rsidRPr="009B737B">
        <w:rPr>
          <w:lang w:val="ru-RU"/>
        </w:rPr>
        <w:t xml:space="preserve"> </w:t>
      </w:r>
      <w:proofErr w:type="spellStart"/>
      <w:r w:rsidR="000747E1" w:rsidRPr="009B737B">
        <w:rPr>
          <w:bCs/>
          <w:lang w:val="ru-RU"/>
        </w:rPr>
        <w:t>Шогенов</w:t>
      </w:r>
      <w:proofErr w:type="spellEnd"/>
      <w:r w:rsidR="000747E1" w:rsidRPr="009B737B">
        <w:rPr>
          <w:bCs/>
          <w:lang w:val="ru-RU"/>
        </w:rPr>
        <w:t xml:space="preserve"> М.З., </w:t>
      </w:r>
      <w:proofErr w:type="spellStart"/>
      <w:r w:rsidR="000747E1" w:rsidRPr="009B737B">
        <w:rPr>
          <w:bCs/>
          <w:lang w:val="ru-RU"/>
        </w:rPr>
        <w:t>Мамхегова</w:t>
      </w:r>
      <w:proofErr w:type="spellEnd"/>
      <w:r w:rsidR="000747E1" w:rsidRPr="009B737B">
        <w:rPr>
          <w:bCs/>
          <w:lang w:val="ru-RU"/>
        </w:rPr>
        <w:t xml:space="preserve"> Л., </w:t>
      </w:r>
      <w:proofErr w:type="spellStart"/>
      <w:r w:rsidR="000747E1" w:rsidRPr="009B737B">
        <w:rPr>
          <w:bCs/>
          <w:lang w:val="ru-RU"/>
        </w:rPr>
        <w:t>Когатыжев</w:t>
      </w:r>
      <w:proofErr w:type="spellEnd"/>
      <w:r w:rsidR="000747E1" w:rsidRPr="009B737B">
        <w:rPr>
          <w:bCs/>
          <w:lang w:val="ru-RU"/>
        </w:rPr>
        <w:t xml:space="preserve"> Ш. История вместо закона: компенсация легитимности историческими интерпретациями в ресурсных конфликтах (на примере Кабардино-Балкарской республики)  // От понимания локальных конфликтов к использованию шансов развития. Сборник научных трудов. Выпуск 2. Под ред. Яна </w:t>
      </w:r>
      <w:proofErr w:type="spellStart"/>
      <w:r w:rsidR="000747E1" w:rsidRPr="009B737B">
        <w:rPr>
          <w:bCs/>
          <w:lang w:val="ru-RU"/>
        </w:rPr>
        <w:t>Кёлера</w:t>
      </w:r>
      <w:proofErr w:type="spellEnd"/>
      <w:r w:rsidR="000747E1" w:rsidRPr="009B737B">
        <w:rPr>
          <w:bCs/>
          <w:lang w:val="ru-RU"/>
        </w:rPr>
        <w:t xml:space="preserve">, Алексея и </w:t>
      </w:r>
      <w:proofErr w:type="spellStart"/>
      <w:r w:rsidR="000747E1" w:rsidRPr="009B737B">
        <w:rPr>
          <w:bCs/>
          <w:lang w:val="ru-RU"/>
        </w:rPr>
        <w:t>Гуни</w:t>
      </w:r>
      <w:proofErr w:type="spellEnd"/>
      <w:r w:rsidR="000747E1" w:rsidRPr="009B737B">
        <w:rPr>
          <w:bCs/>
          <w:lang w:val="ru-RU"/>
        </w:rPr>
        <w:t xml:space="preserve">, Мурата Шогенова. – Берлин-Нальчик: </w:t>
      </w:r>
      <w:proofErr w:type="spellStart"/>
      <w:r w:rsidR="000747E1" w:rsidRPr="009B737B">
        <w:rPr>
          <w:bCs/>
          <w:lang w:val="ru-RU"/>
        </w:rPr>
        <w:t>Каб</w:t>
      </w:r>
      <w:proofErr w:type="gramStart"/>
      <w:r w:rsidR="000747E1" w:rsidRPr="009B737B">
        <w:rPr>
          <w:bCs/>
          <w:lang w:val="ru-RU"/>
        </w:rPr>
        <w:t>.-</w:t>
      </w:r>
      <w:proofErr w:type="gramEnd"/>
      <w:r w:rsidR="000747E1" w:rsidRPr="009B737B">
        <w:rPr>
          <w:bCs/>
          <w:lang w:val="ru-RU"/>
        </w:rPr>
        <w:t>Балк</w:t>
      </w:r>
      <w:proofErr w:type="spellEnd"/>
      <w:r w:rsidR="000747E1" w:rsidRPr="009B737B">
        <w:rPr>
          <w:bCs/>
          <w:lang w:val="ru-RU"/>
        </w:rPr>
        <w:t>. ун-т, 2014. – С. 114-149.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161F"/>
    <w:multiLevelType w:val="hybridMultilevel"/>
    <w:tmpl w:val="A06E0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148"/>
    <w:rsid w:val="0000529C"/>
    <w:rsid w:val="00033579"/>
    <w:rsid w:val="000476E3"/>
    <w:rsid w:val="000554B2"/>
    <w:rsid w:val="00057163"/>
    <w:rsid w:val="00064957"/>
    <w:rsid w:val="000729E3"/>
    <w:rsid w:val="000747E1"/>
    <w:rsid w:val="000816C5"/>
    <w:rsid w:val="000A0F76"/>
    <w:rsid w:val="000A5B69"/>
    <w:rsid w:val="000B3B65"/>
    <w:rsid w:val="000C0110"/>
    <w:rsid w:val="000C1A92"/>
    <w:rsid w:val="000E29E5"/>
    <w:rsid w:val="000E54D8"/>
    <w:rsid w:val="000E5896"/>
    <w:rsid w:val="001035C4"/>
    <w:rsid w:val="001105C0"/>
    <w:rsid w:val="00116D98"/>
    <w:rsid w:val="001236F6"/>
    <w:rsid w:val="0012536C"/>
    <w:rsid w:val="00135121"/>
    <w:rsid w:val="00136132"/>
    <w:rsid w:val="00136860"/>
    <w:rsid w:val="00137774"/>
    <w:rsid w:val="00140860"/>
    <w:rsid w:val="00164BA1"/>
    <w:rsid w:val="00165641"/>
    <w:rsid w:val="00172B4D"/>
    <w:rsid w:val="0017333F"/>
    <w:rsid w:val="001812B0"/>
    <w:rsid w:val="001838AB"/>
    <w:rsid w:val="00190367"/>
    <w:rsid w:val="0019384E"/>
    <w:rsid w:val="00195FAD"/>
    <w:rsid w:val="001A1A03"/>
    <w:rsid w:val="001A54D4"/>
    <w:rsid w:val="001B212D"/>
    <w:rsid w:val="001C5080"/>
    <w:rsid w:val="001C5485"/>
    <w:rsid w:val="001D0EF8"/>
    <w:rsid w:val="001D1A61"/>
    <w:rsid w:val="001D5F3B"/>
    <w:rsid w:val="001D605C"/>
    <w:rsid w:val="001E15EC"/>
    <w:rsid w:val="00211319"/>
    <w:rsid w:val="00217750"/>
    <w:rsid w:val="0023669D"/>
    <w:rsid w:val="00251BB8"/>
    <w:rsid w:val="002654DB"/>
    <w:rsid w:val="002677BC"/>
    <w:rsid w:val="00273B48"/>
    <w:rsid w:val="00277DD9"/>
    <w:rsid w:val="00280CCA"/>
    <w:rsid w:val="002922BD"/>
    <w:rsid w:val="00292D6C"/>
    <w:rsid w:val="00292DBF"/>
    <w:rsid w:val="002977F5"/>
    <w:rsid w:val="002A0429"/>
    <w:rsid w:val="002C594A"/>
    <w:rsid w:val="002D1863"/>
    <w:rsid w:val="002D4497"/>
    <w:rsid w:val="002E3157"/>
    <w:rsid w:val="00301FA2"/>
    <w:rsid w:val="003060E2"/>
    <w:rsid w:val="003235FA"/>
    <w:rsid w:val="00326CF9"/>
    <w:rsid w:val="0034372D"/>
    <w:rsid w:val="0034408F"/>
    <w:rsid w:val="00353D38"/>
    <w:rsid w:val="00364922"/>
    <w:rsid w:val="00384AEC"/>
    <w:rsid w:val="003906AF"/>
    <w:rsid w:val="0039357F"/>
    <w:rsid w:val="003A6DF0"/>
    <w:rsid w:val="003B2F17"/>
    <w:rsid w:val="003C20DE"/>
    <w:rsid w:val="003C6C80"/>
    <w:rsid w:val="003C7466"/>
    <w:rsid w:val="003D0E9E"/>
    <w:rsid w:val="003D2624"/>
    <w:rsid w:val="003E78E4"/>
    <w:rsid w:val="003F0895"/>
    <w:rsid w:val="004273F9"/>
    <w:rsid w:val="00430D8D"/>
    <w:rsid w:val="004378F4"/>
    <w:rsid w:val="00441026"/>
    <w:rsid w:val="00480177"/>
    <w:rsid w:val="00483119"/>
    <w:rsid w:val="00493361"/>
    <w:rsid w:val="004A2148"/>
    <w:rsid w:val="004B30B7"/>
    <w:rsid w:val="004C5520"/>
    <w:rsid w:val="004D3A15"/>
    <w:rsid w:val="004F267C"/>
    <w:rsid w:val="004F6177"/>
    <w:rsid w:val="005005B0"/>
    <w:rsid w:val="005175B6"/>
    <w:rsid w:val="00520E17"/>
    <w:rsid w:val="005212A9"/>
    <w:rsid w:val="0052579F"/>
    <w:rsid w:val="00536B9A"/>
    <w:rsid w:val="00536FBE"/>
    <w:rsid w:val="00540969"/>
    <w:rsid w:val="005437E7"/>
    <w:rsid w:val="00543AE7"/>
    <w:rsid w:val="0054674C"/>
    <w:rsid w:val="0056105D"/>
    <w:rsid w:val="00566A75"/>
    <w:rsid w:val="00587BFD"/>
    <w:rsid w:val="005F32C0"/>
    <w:rsid w:val="005F584E"/>
    <w:rsid w:val="0063100B"/>
    <w:rsid w:val="0064443E"/>
    <w:rsid w:val="006674FC"/>
    <w:rsid w:val="006813B5"/>
    <w:rsid w:val="00694CC2"/>
    <w:rsid w:val="006B54E6"/>
    <w:rsid w:val="006F348E"/>
    <w:rsid w:val="006F413C"/>
    <w:rsid w:val="006F4C2F"/>
    <w:rsid w:val="00705BBB"/>
    <w:rsid w:val="007072B1"/>
    <w:rsid w:val="007074F9"/>
    <w:rsid w:val="007124B9"/>
    <w:rsid w:val="00722B1E"/>
    <w:rsid w:val="00727303"/>
    <w:rsid w:val="0073397B"/>
    <w:rsid w:val="007343A6"/>
    <w:rsid w:val="00734A7B"/>
    <w:rsid w:val="0073618D"/>
    <w:rsid w:val="00740CDA"/>
    <w:rsid w:val="0075284B"/>
    <w:rsid w:val="00774706"/>
    <w:rsid w:val="0078479F"/>
    <w:rsid w:val="00786A0D"/>
    <w:rsid w:val="007E78EF"/>
    <w:rsid w:val="007F299F"/>
    <w:rsid w:val="007F2E5D"/>
    <w:rsid w:val="007F48D2"/>
    <w:rsid w:val="00830A3D"/>
    <w:rsid w:val="0083294C"/>
    <w:rsid w:val="008358B8"/>
    <w:rsid w:val="00847012"/>
    <w:rsid w:val="00850267"/>
    <w:rsid w:val="00851FF6"/>
    <w:rsid w:val="00862F27"/>
    <w:rsid w:val="008711A3"/>
    <w:rsid w:val="008760A8"/>
    <w:rsid w:val="00883BC1"/>
    <w:rsid w:val="00887B77"/>
    <w:rsid w:val="008912D5"/>
    <w:rsid w:val="008A0568"/>
    <w:rsid w:val="008B0847"/>
    <w:rsid w:val="008B3ABE"/>
    <w:rsid w:val="008B423B"/>
    <w:rsid w:val="008C11DC"/>
    <w:rsid w:val="008C7621"/>
    <w:rsid w:val="008D51F3"/>
    <w:rsid w:val="008D769E"/>
    <w:rsid w:val="008E1584"/>
    <w:rsid w:val="008E543A"/>
    <w:rsid w:val="008F67FE"/>
    <w:rsid w:val="00907A5B"/>
    <w:rsid w:val="00912C8A"/>
    <w:rsid w:val="00930B38"/>
    <w:rsid w:val="009360C5"/>
    <w:rsid w:val="00936343"/>
    <w:rsid w:val="009375F1"/>
    <w:rsid w:val="00947520"/>
    <w:rsid w:val="0095125A"/>
    <w:rsid w:val="00952636"/>
    <w:rsid w:val="009565BD"/>
    <w:rsid w:val="0095770D"/>
    <w:rsid w:val="009654D9"/>
    <w:rsid w:val="00975D41"/>
    <w:rsid w:val="00982802"/>
    <w:rsid w:val="009843AF"/>
    <w:rsid w:val="009A6343"/>
    <w:rsid w:val="009B737B"/>
    <w:rsid w:val="009D3D4D"/>
    <w:rsid w:val="009F2183"/>
    <w:rsid w:val="00A12AFA"/>
    <w:rsid w:val="00A37152"/>
    <w:rsid w:val="00A46DAD"/>
    <w:rsid w:val="00A562E8"/>
    <w:rsid w:val="00A737C7"/>
    <w:rsid w:val="00A74422"/>
    <w:rsid w:val="00A752A7"/>
    <w:rsid w:val="00A9481D"/>
    <w:rsid w:val="00AA2A5A"/>
    <w:rsid w:val="00AA59BB"/>
    <w:rsid w:val="00AD2A05"/>
    <w:rsid w:val="00AD7F35"/>
    <w:rsid w:val="00AE0B84"/>
    <w:rsid w:val="00AE725D"/>
    <w:rsid w:val="00B00DF1"/>
    <w:rsid w:val="00B06C7E"/>
    <w:rsid w:val="00B1404A"/>
    <w:rsid w:val="00B372CF"/>
    <w:rsid w:val="00B40DF9"/>
    <w:rsid w:val="00B44A12"/>
    <w:rsid w:val="00B4594B"/>
    <w:rsid w:val="00B52F5F"/>
    <w:rsid w:val="00B54423"/>
    <w:rsid w:val="00B56B9D"/>
    <w:rsid w:val="00B627C1"/>
    <w:rsid w:val="00B84DC5"/>
    <w:rsid w:val="00B867CC"/>
    <w:rsid w:val="00B909B5"/>
    <w:rsid w:val="00B938C5"/>
    <w:rsid w:val="00BB400F"/>
    <w:rsid w:val="00BB5546"/>
    <w:rsid w:val="00BC1188"/>
    <w:rsid w:val="00BC77A0"/>
    <w:rsid w:val="00BD0137"/>
    <w:rsid w:val="00BD6CA1"/>
    <w:rsid w:val="00BF0D1C"/>
    <w:rsid w:val="00BF5ABF"/>
    <w:rsid w:val="00C03445"/>
    <w:rsid w:val="00C11745"/>
    <w:rsid w:val="00C126BF"/>
    <w:rsid w:val="00C14384"/>
    <w:rsid w:val="00C22F70"/>
    <w:rsid w:val="00C32A17"/>
    <w:rsid w:val="00C33F8C"/>
    <w:rsid w:val="00C367CC"/>
    <w:rsid w:val="00C44A0B"/>
    <w:rsid w:val="00C7020D"/>
    <w:rsid w:val="00C73227"/>
    <w:rsid w:val="00C81647"/>
    <w:rsid w:val="00C82DEF"/>
    <w:rsid w:val="00C83D16"/>
    <w:rsid w:val="00C914D9"/>
    <w:rsid w:val="00C91C4D"/>
    <w:rsid w:val="00CA189D"/>
    <w:rsid w:val="00CA3FE6"/>
    <w:rsid w:val="00CB0D10"/>
    <w:rsid w:val="00CB4F87"/>
    <w:rsid w:val="00CE26B0"/>
    <w:rsid w:val="00CF04FE"/>
    <w:rsid w:val="00D01962"/>
    <w:rsid w:val="00D060B2"/>
    <w:rsid w:val="00D0631A"/>
    <w:rsid w:val="00D07E6E"/>
    <w:rsid w:val="00D12CB0"/>
    <w:rsid w:val="00D21582"/>
    <w:rsid w:val="00D27D0B"/>
    <w:rsid w:val="00D34F4D"/>
    <w:rsid w:val="00D36A97"/>
    <w:rsid w:val="00D47278"/>
    <w:rsid w:val="00D6158A"/>
    <w:rsid w:val="00D621F8"/>
    <w:rsid w:val="00D70AB5"/>
    <w:rsid w:val="00D85E44"/>
    <w:rsid w:val="00D866FD"/>
    <w:rsid w:val="00D92939"/>
    <w:rsid w:val="00DA3924"/>
    <w:rsid w:val="00DB5CF0"/>
    <w:rsid w:val="00DC7A49"/>
    <w:rsid w:val="00DD2F6D"/>
    <w:rsid w:val="00DD6C7A"/>
    <w:rsid w:val="00E0086B"/>
    <w:rsid w:val="00E106F5"/>
    <w:rsid w:val="00E10F01"/>
    <w:rsid w:val="00E116D9"/>
    <w:rsid w:val="00E11F64"/>
    <w:rsid w:val="00E20022"/>
    <w:rsid w:val="00E20149"/>
    <w:rsid w:val="00E34944"/>
    <w:rsid w:val="00E50E80"/>
    <w:rsid w:val="00E61BD6"/>
    <w:rsid w:val="00E64FDA"/>
    <w:rsid w:val="00E6595C"/>
    <w:rsid w:val="00E662A4"/>
    <w:rsid w:val="00E7239F"/>
    <w:rsid w:val="00E77AE7"/>
    <w:rsid w:val="00E83285"/>
    <w:rsid w:val="00E93AE6"/>
    <w:rsid w:val="00E97A36"/>
    <w:rsid w:val="00EA48CD"/>
    <w:rsid w:val="00EB54D9"/>
    <w:rsid w:val="00ED4438"/>
    <w:rsid w:val="00ED59BE"/>
    <w:rsid w:val="00F0052E"/>
    <w:rsid w:val="00F10303"/>
    <w:rsid w:val="00F1409A"/>
    <w:rsid w:val="00F14B17"/>
    <w:rsid w:val="00F157C2"/>
    <w:rsid w:val="00F47C58"/>
    <w:rsid w:val="00F51F46"/>
    <w:rsid w:val="00F54D2C"/>
    <w:rsid w:val="00F72409"/>
    <w:rsid w:val="00F8199B"/>
    <w:rsid w:val="00F86E42"/>
    <w:rsid w:val="00F92808"/>
    <w:rsid w:val="00FA07C9"/>
    <w:rsid w:val="00FC26B8"/>
    <w:rsid w:val="00FE0B6C"/>
    <w:rsid w:val="00FF2B56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48"/>
    <w:rPr>
      <w:rFonts w:ascii="Calibri" w:eastAsia="Times New Roman" w:hAnsi="Calibri" w:cs="Times New Roman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4A2148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1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aliases w:val="Текст сноски-FN,Footnote Text Char Знак Знак,Footnote Text Char Знак,Table_Footnote_last,Oaeno niinee-FN,Oaeno niinee Ciae"/>
    <w:basedOn w:val="a"/>
    <w:link w:val="a4"/>
    <w:uiPriority w:val="99"/>
    <w:unhideWhenUsed/>
    <w:rsid w:val="004A2148"/>
    <w:rPr>
      <w:sz w:val="20"/>
      <w:szCs w:val="20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"/>
    <w:basedOn w:val="a0"/>
    <w:link w:val="a3"/>
    <w:uiPriority w:val="99"/>
    <w:rsid w:val="004A2148"/>
    <w:rPr>
      <w:rFonts w:ascii="Calibri" w:eastAsia="Times New Roman" w:hAnsi="Calibri" w:cs="Times New Roman"/>
      <w:sz w:val="20"/>
      <w:szCs w:val="20"/>
      <w:lang w:val="en-GB" w:eastAsia="ru-RU"/>
    </w:rPr>
  </w:style>
  <w:style w:type="character" w:styleId="a5">
    <w:name w:val="footnote reference"/>
    <w:aliases w:val="Знак сноски-FN,Ciae niinee-FN"/>
    <w:uiPriority w:val="99"/>
    <w:unhideWhenUsed/>
    <w:rsid w:val="004A2148"/>
    <w:rPr>
      <w:rFonts w:cs="Times New Roman"/>
      <w:vertAlign w:val="superscript"/>
    </w:rPr>
  </w:style>
  <w:style w:type="character" w:styleId="a6">
    <w:name w:val="Hyperlink"/>
    <w:uiPriority w:val="99"/>
    <w:rsid w:val="004A2148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4A2148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 w:eastAsia="en-US"/>
    </w:rPr>
  </w:style>
  <w:style w:type="character" w:customStyle="1" w:styleId="a8">
    <w:name w:val="Текст Знак"/>
    <w:basedOn w:val="a0"/>
    <w:link w:val="a7"/>
    <w:uiPriority w:val="99"/>
    <w:rsid w:val="004A2148"/>
    <w:rPr>
      <w:rFonts w:ascii="Courier New" w:eastAsia="SimSun" w:hAnsi="Courier New" w:cs="Courier New"/>
      <w:sz w:val="20"/>
      <w:szCs w:val="20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4A2148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uiPriority w:val="11"/>
    <w:rsid w:val="004A2148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148"/>
    <w:rPr>
      <w:rFonts w:ascii="Tahoma" w:eastAsia="Times New Roman" w:hAnsi="Tahoma" w:cs="Tahoma"/>
      <w:sz w:val="16"/>
      <w:szCs w:val="16"/>
      <w:lang w:val="en-GB" w:eastAsia="ru-RU"/>
    </w:rPr>
  </w:style>
  <w:style w:type="character" w:styleId="HTML">
    <w:name w:val="HTML Cite"/>
    <w:uiPriority w:val="99"/>
    <w:semiHidden/>
    <w:unhideWhenUsed/>
    <w:rsid w:val="00B4594B"/>
    <w:rPr>
      <w:rFonts w:ascii="Times New Roman" w:hAnsi="Times New Roman" w:cs="Times New Roman" w:hint="default"/>
      <w:i/>
      <w:iCs w:val="0"/>
    </w:rPr>
  </w:style>
  <w:style w:type="character" w:customStyle="1" w:styleId="reference-text">
    <w:name w:val="reference-text"/>
    <w:rsid w:val="00B4594B"/>
  </w:style>
  <w:style w:type="character" w:customStyle="1" w:styleId="z3988">
    <w:name w:val="z3988"/>
    <w:rsid w:val="00B4594B"/>
  </w:style>
  <w:style w:type="paragraph" w:styleId="ad">
    <w:name w:val="header"/>
    <w:basedOn w:val="a"/>
    <w:link w:val="ae"/>
    <w:uiPriority w:val="99"/>
    <w:semiHidden/>
    <w:unhideWhenUsed/>
    <w:rsid w:val="00C7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73227"/>
    <w:rPr>
      <w:rFonts w:ascii="Calibri" w:eastAsia="Times New Roman" w:hAnsi="Calibri" w:cs="Times New Roman"/>
      <w:lang w:val="en-GB" w:eastAsia="ru-RU"/>
    </w:rPr>
  </w:style>
  <w:style w:type="paragraph" w:styleId="af">
    <w:name w:val="footer"/>
    <w:basedOn w:val="a"/>
    <w:link w:val="af0"/>
    <w:uiPriority w:val="99"/>
    <w:unhideWhenUsed/>
    <w:rsid w:val="00C7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3227"/>
    <w:rPr>
      <w:rFonts w:ascii="Calibri" w:eastAsia="Times New Roman" w:hAnsi="Calibri" w:cs="Times New Roman"/>
      <w:lang w:val="en-GB" w:eastAsia="ru-RU"/>
    </w:rPr>
  </w:style>
  <w:style w:type="paragraph" w:styleId="af1">
    <w:name w:val="Document Map"/>
    <w:basedOn w:val="a"/>
    <w:link w:val="af2"/>
    <w:uiPriority w:val="99"/>
    <w:semiHidden/>
    <w:unhideWhenUsed/>
    <w:rsid w:val="00B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F0D1C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48"/>
    <w:rPr>
      <w:rFonts w:ascii="Calibri" w:eastAsia="Times New Roman" w:hAnsi="Calibri" w:cs="Times New Roman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4A2148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1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aliases w:val="Текст сноски-FN,Footnote Text Char Знак Знак,Footnote Text Char Знак,Table_Footnote_last,Oaeno niinee-FN,Oaeno niinee Ciae"/>
    <w:basedOn w:val="a"/>
    <w:link w:val="a4"/>
    <w:uiPriority w:val="99"/>
    <w:unhideWhenUsed/>
    <w:rsid w:val="004A2148"/>
    <w:rPr>
      <w:sz w:val="20"/>
      <w:szCs w:val="20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"/>
    <w:basedOn w:val="a0"/>
    <w:link w:val="a3"/>
    <w:uiPriority w:val="99"/>
    <w:rsid w:val="004A2148"/>
    <w:rPr>
      <w:rFonts w:ascii="Calibri" w:eastAsia="Times New Roman" w:hAnsi="Calibri" w:cs="Times New Roman"/>
      <w:sz w:val="20"/>
      <w:szCs w:val="20"/>
      <w:lang w:val="en-GB" w:eastAsia="ru-RU"/>
    </w:rPr>
  </w:style>
  <w:style w:type="character" w:styleId="a5">
    <w:name w:val="footnote reference"/>
    <w:aliases w:val="Знак сноски-FN,Ciae niinee-FN"/>
    <w:uiPriority w:val="99"/>
    <w:unhideWhenUsed/>
    <w:rsid w:val="004A2148"/>
    <w:rPr>
      <w:rFonts w:cs="Times New Roman"/>
      <w:vertAlign w:val="superscript"/>
    </w:rPr>
  </w:style>
  <w:style w:type="character" w:styleId="a6">
    <w:name w:val="Hyperlink"/>
    <w:uiPriority w:val="99"/>
    <w:rsid w:val="004A2148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4A2148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 w:eastAsia="en-US"/>
    </w:rPr>
  </w:style>
  <w:style w:type="character" w:customStyle="1" w:styleId="a8">
    <w:name w:val="Текст Знак"/>
    <w:basedOn w:val="a0"/>
    <w:link w:val="a7"/>
    <w:uiPriority w:val="99"/>
    <w:rsid w:val="004A2148"/>
    <w:rPr>
      <w:rFonts w:ascii="Courier New" w:eastAsia="SimSun" w:hAnsi="Courier New" w:cs="Courier New"/>
      <w:sz w:val="20"/>
      <w:szCs w:val="20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4A2148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uiPriority w:val="11"/>
    <w:rsid w:val="004A2148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148"/>
    <w:rPr>
      <w:rFonts w:ascii="Tahoma" w:eastAsia="Times New Roman" w:hAnsi="Tahoma" w:cs="Tahoma"/>
      <w:sz w:val="16"/>
      <w:szCs w:val="16"/>
      <w:lang w:val="en-GB" w:eastAsia="ru-RU"/>
    </w:rPr>
  </w:style>
  <w:style w:type="character" w:styleId="HTML">
    <w:name w:val="HTML Cite"/>
    <w:uiPriority w:val="99"/>
    <w:semiHidden/>
    <w:unhideWhenUsed/>
    <w:rsid w:val="00B4594B"/>
    <w:rPr>
      <w:rFonts w:ascii="Times New Roman" w:hAnsi="Times New Roman" w:cs="Times New Roman" w:hint="default"/>
      <w:i/>
      <w:iCs w:val="0"/>
    </w:rPr>
  </w:style>
  <w:style w:type="character" w:customStyle="1" w:styleId="reference-text">
    <w:name w:val="reference-text"/>
    <w:rsid w:val="00B4594B"/>
  </w:style>
  <w:style w:type="character" w:customStyle="1" w:styleId="z3988">
    <w:name w:val="z3988"/>
    <w:rsid w:val="00B4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1D13-9BA7-4156-8989-21651E62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KBSU</dc:creator>
  <cp:lastModifiedBy>alex</cp:lastModifiedBy>
  <cp:revision>3</cp:revision>
  <dcterms:created xsi:type="dcterms:W3CDTF">2017-06-09T09:45:00Z</dcterms:created>
  <dcterms:modified xsi:type="dcterms:W3CDTF">2017-11-28T05:32:00Z</dcterms:modified>
</cp:coreProperties>
</file>